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428C0">
      <w:pPr>
        <w:widowControl/>
        <w:jc w:val="center"/>
        <w:rPr>
          <w:rFonts w:ascii="宋体" w:hAnsi="宋体" w:cs="宋体"/>
          <w:color w:val="000000"/>
          <w:sz w:val="28"/>
        </w:rPr>
      </w:pPr>
    </w:p>
    <w:p w14:paraId="50FF9E52">
      <w:pPr>
        <w:widowControl/>
        <w:jc w:val="center"/>
        <w:rPr>
          <w:rFonts w:ascii="宋体" w:hAnsi="宋体" w:cs="宋体"/>
          <w:color w:val="000000"/>
          <w:sz w:val="28"/>
        </w:rPr>
      </w:pPr>
    </w:p>
    <w:p w14:paraId="3BEBAEC4">
      <w:pPr>
        <w:widowControl/>
        <w:jc w:val="center"/>
        <w:rPr>
          <w:rFonts w:ascii="宋体" w:hAnsi="宋体" w:cs="宋体"/>
          <w:color w:val="000000"/>
          <w:sz w:val="28"/>
        </w:rPr>
      </w:pPr>
    </w:p>
    <w:p w14:paraId="52A58A86">
      <w:pPr>
        <w:widowControl/>
        <w:jc w:val="center"/>
        <w:rPr>
          <w:rFonts w:ascii="宋体" w:hAnsi="宋体" w:cs="宋体"/>
          <w:b/>
          <w:bCs/>
          <w:color w:val="000000"/>
          <w:sz w:val="48"/>
          <w:szCs w:val="52"/>
        </w:rPr>
      </w:pPr>
      <w:r>
        <w:rPr>
          <w:rFonts w:hint="eastAsia" w:ascii="宋体" w:hAnsi="宋体" w:cs="宋体"/>
          <w:b/>
          <w:bCs/>
          <w:color w:val="000000"/>
          <w:sz w:val="48"/>
          <w:szCs w:val="52"/>
        </w:rPr>
        <w:t>团体标准</w:t>
      </w:r>
    </w:p>
    <w:p w14:paraId="02D5D3A3">
      <w:pPr>
        <w:widowControl/>
        <w:jc w:val="center"/>
        <w:rPr>
          <w:rFonts w:ascii="宋体" w:hAnsi="宋体" w:cs="宋体"/>
          <w:b/>
          <w:bCs/>
          <w:color w:val="000000"/>
          <w:sz w:val="48"/>
          <w:szCs w:val="52"/>
        </w:rPr>
      </w:pPr>
      <w:r>
        <w:rPr>
          <w:rFonts w:hint="eastAsia" w:ascii="宋体" w:hAnsi="宋体" w:cs="宋体"/>
          <w:b/>
          <w:bCs/>
          <w:color w:val="000000"/>
          <w:sz w:val="48"/>
          <w:szCs w:val="52"/>
        </w:rPr>
        <w:t>《湛江市知识产权公共服务中心服务规范（征求意见稿）》</w:t>
      </w:r>
    </w:p>
    <w:p w14:paraId="58E02D13">
      <w:pPr>
        <w:widowControl/>
        <w:jc w:val="center"/>
        <w:rPr>
          <w:rFonts w:ascii="宋体" w:hAnsi="宋体" w:cs="宋体"/>
          <w:color w:val="000000"/>
          <w:szCs w:val="36"/>
        </w:rPr>
      </w:pPr>
    </w:p>
    <w:p w14:paraId="359E76EE">
      <w:pPr>
        <w:widowControl/>
        <w:jc w:val="center"/>
        <w:rPr>
          <w:rFonts w:ascii="宋体" w:hAnsi="宋体" w:cs="宋体"/>
          <w:color w:val="000000"/>
          <w:sz w:val="48"/>
          <w:szCs w:val="52"/>
        </w:rPr>
      </w:pPr>
    </w:p>
    <w:p w14:paraId="0EF10529">
      <w:pPr>
        <w:widowControl/>
        <w:jc w:val="center"/>
        <w:rPr>
          <w:rFonts w:ascii="宋体" w:hAnsi="宋体" w:cs="宋体"/>
          <w:color w:val="000000"/>
          <w:sz w:val="48"/>
          <w:szCs w:val="52"/>
        </w:rPr>
      </w:pPr>
    </w:p>
    <w:p w14:paraId="7E437CA4">
      <w:pPr>
        <w:widowControl/>
        <w:jc w:val="center"/>
        <w:rPr>
          <w:rFonts w:ascii="宋体" w:hAnsi="宋体" w:cs="宋体"/>
          <w:color w:val="000000"/>
          <w:sz w:val="48"/>
          <w:szCs w:val="52"/>
        </w:rPr>
      </w:pPr>
    </w:p>
    <w:p w14:paraId="2E8A3156">
      <w:pPr>
        <w:widowControl/>
        <w:jc w:val="center"/>
        <w:rPr>
          <w:rFonts w:ascii="宋体" w:hAnsi="宋体" w:cs="宋体"/>
          <w:b/>
          <w:bCs/>
          <w:color w:val="000000"/>
          <w:sz w:val="48"/>
          <w:szCs w:val="52"/>
        </w:rPr>
      </w:pPr>
      <w:r>
        <w:rPr>
          <w:rFonts w:hint="eastAsia" w:ascii="宋体" w:hAnsi="宋体" w:cs="宋体"/>
          <w:b/>
          <w:bCs/>
          <w:color w:val="000000"/>
          <w:sz w:val="48"/>
          <w:szCs w:val="52"/>
        </w:rPr>
        <w:t>编 制 说 明</w:t>
      </w:r>
    </w:p>
    <w:p w14:paraId="6E903FC1">
      <w:pPr>
        <w:widowControl/>
        <w:jc w:val="center"/>
        <w:rPr>
          <w:rFonts w:ascii="宋体" w:hAnsi="宋体" w:cs="宋体"/>
          <w:color w:val="000000"/>
          <w:sz w:val="48"/>
          <w:szCs w:val="52"/>
        </w:rPr>
      </w:pPr>
    </w:p>
    <w:p w14:paraId="023285AF">
      <w:pPr>
        <w:widowControl/>
        <w:jc w:val="center"/>
        <w:rPr>
          <w:rFonts w:ascii="宋体" w:hAnsi="宋体" w:cs="宋体"/>
          <w:color w:val="000000"/>
          <w:sz w:val="48"/>
          <w:szCs w:val="52"/>
        </w:rPr>
      </w:pPr>
    </w:p>
    <w:p w14:paraId="5783FC2D">
      <w:pPr>
        <w:widowControl/>
        <w:jc w:val="center"/>
        <w:rPr>
          <w:rFonts w:ascii="宋体" w:hAnsi="宋体" w:cs="宋体"/>
          <w:color w:val="000000"/>
          <w:sz w:val="48"/>
          <w:szCs w:val="52"/>
        </w:rPr>
      </w:pPr>
    </w:p>
    <w:p w14:paraId="6305DCD0">
      <w:pPr>
        <w:widowControl/>
        <w:jc w:val="center"/>
        <w:rPr>
          <w:rFonts w:ascii="宋体" w:hAnsi="宋体" w:cs="宋体"/>
          <w:color w:val="000000"/>
          <w:sz w:val="48"/>
          <w:szCs w:val="52"/>
        </w:rPr>
      </w:pPr>
    </w:p>
    <w:p w14:paraId="1E7633CB">
      <w:pPr>
        <w:widowControl/>
        <w:jc w:val="center"/>
        <w:rPr>
          <w:rFonts w:ascii="宋体" w:hAnsi="宋体" w:cs="宋体"/>
          <w:color w:val="000000"/>
          <w:sz w:val="48"/>
          <w:szCs w:val="52"/>
        </w:rPr>
      </w:pPr>
    </w:p>
    <w:p w14:paraId="5B9D9DAB">
      <w:pPr>
        <w:widowControl/>
        <w:jc w:val="center"/>
        <w:rPr>
          <w:rFonts w:ascii="宋体" w:hAnsi="宋体" w:cs="宋体"/>
          <w:color w:val="000000"/>
          <w:sz w:val="48"/>
          <w:szCs w:val="52"/>
        </w:rPr>
      </w:pPr>
    </w:p>
    <w:p w14:paraId="37440EE0">
      <w:pPr>
        <w:widowControl/>
        <w:jc w:val="center"/>
        <w:rPr>
          <w:rFonts w:ascii="宋体" w:hAnsi="宋体" w:cs="宋体"/>
          <w:color w:val="000000"/>
          <w:sz w:val="48"/>
          <w:szCs w:val="52"/>
        </w:rPr>
      </w:pPr>
    </w:p>
    <w:p w14:paraId="78730876">
      <w:pPr>
        <w:widowControl/>
        <w:jc w:val="center"/>
        <w:rPr>
          <w:rFonts w:ascii="宋体" w:hAnsi="宋体" w:cs="宋体"/>
          <w:color w:val="000000"/>
          <w:sz w:val="32"/>
          <w:szCs w:val="36"/>
        </w:rPr>
      </w:pPr>
      <w:r>
        <w:rPr>
          <w:rFonts w:hint="eastAsia" w:ascii="宋体" w:hAnsi="宋体" w:cs="宋体"/>
          <w:color w:val="000000"/>
          <w:sz w:val="32"/>
          <w:szCs w:val="36"/>
        </w:rPr>
        <w:t>标准工作组</w:t>
      </w:r>
    </w:p>
    <w:p w14:paraId="59C0F85A">
      <w:pPr>
        <w:widowControl/>
        <w:jc w:val="center"/>
        <w:rPr>
          <w:rFonts w:ascii="宋体" w:hAnsi="宋体" w:cs="宋体"/>
          <w:color w:val="000000"/>
          <w:sz w:val="32"/>
          <w:szCs w:val="36"/>
        </w:rPr>
      </w:pPr>
      <w:r>
        <w:rPr>
          <w:rFonts w:hint="eastAsia" w:ascii="宋体" w:hAnsi="宋体" w:cs="宋体"/>
          <w:color w:val="000000"/>
          <w:sz w:val="32"/>
          <w:szCs w:val="36"/>
        </w:rPr>
        <w:t>202</w:t>
      </w:r>
      <w:r>
        <w:rPr>
          <w:rFonts w:hint="eastAsia" w:ascii="宋体" w:hAnsi="宋体" w:cs="宋体"/>
          <w:color w:val="000000"/>
          <w:sz w:val="32"/>
          <w:szCs w:val="36"/>
          <w:lang w:val="en-US" w:eastAsia="zh-CN"/>
        </w:rPr>
        <w:t>6</w:t>
      </w:r>
      <w:r>
        <w:rPr>
          <w:rFonts w:hint="eastAsia" w:ascii="宋体" w:hAnsi="宋体" w:cs="宋体"/>
          <w:color w:val="000000"/>
          <w:sz w:val="32"/>
          <w:szCs w:val="36"/>
        </w:rPr>
        <w:t>年</w:t>
      </w:r>
      <w:r>
        <w:rPr>
          <w:rFonts w:hint="eastAsia" w:ascii="宋体" w:hAnsi="宋体" w:cs="宋体"/>
          <w:color w:val="000000"/>
          <w:sz w:val="32"/>
          <w:szCs w:val="36"/>
          <w:lang w:val="en-US" w:eastAsia="zh-CN"/>
        </w:rPr>
        <w:t>8</w:t>
      </w:r>
      <w:r>
        <w:rPr>
          <w:rFonts w:hint="eastAsia" w:ascii="宋体" w:hAnsi="宋体" w:cs="宋体"/>
          <w:color w:val="000000"/>
          <w:sz w:val="32"/>
          <w:szCs w:val="36"/>
        </w:rPr>
        <w:t>月</w:t>
      </w:r>
    </w:p>
    <w:p w14:paraId="6EFE55AE">
      <w:pPr>
        <w:widowControl/>
        <w:jc w:val="center"/>
        <w:rPr>
          <w:rFonts w:ascii="宋体" w:hAnsi="宋体" w:cs="宋体"/>
          <w:color w:val="000000"/>
          <w:szCs w:val="36"/>
        </w:rPr>
        <w:sectPr>
          <w:footerReference r:id="rId4" w:type="first"/>
          <w:footerReference r:id="rId3" w:type="default"/>
          <w:pgSz w:w="11906" w:h="16838"/>
          <w:pgMar w:top="2098" w:right="1474" w:bottom="1417" w:left="1587" w:header="850" w:footer="1134" w:gutter="0"/>
          <w:pgNumType w:fmt="upperRoman"/>
          <w:cols w:space="720" w:num="1"/>
          <w:titlePg/>
          <w:docGrid w:linePitch="312" w:charSpace="0"/>
        </w:sectPr>
      </w:pPr>
    </w:p>
    <w:p w14:paraId="15F8EAF2">
      <w:pPr>
        <w:widowControl/>
        <w:jc w:val="center"/>
        <w:rPr>
          <w:rFonts w:ascii="宋体" w:hAnsi="宋体" w:cs="宋体"/>
          <w:color w:val="000000"/>
          <w:szCs w:val="36"/>
        </w:rPr>
      </w:pPr>
    </w:p>
    <w:sdt>
      <w:sdtPr>
        <w:rPr>
          <w:rFonts w:ascii="Times New Roman" w:hAnsi="Times New Roman" w:eastAsia="宋体" w:cs="Times New Roman"/>
          <w:b w:val="0"/>
          <w:bCs w:val="0"/>
          <w:color w:val="auto"/>
          <w:kern w:val="2"/>
          <w:sz w:val="21"/>
          <w:szCs w:val="24"/>
          <w:lang w:val="zh-CN"/>
        </w:rPr>
        <w:id w:val="1442418072"/>
        <w:docPartObj>
          <w:docPartGallery w:val="Table of Contents"/>
          <w:docPartUnique/>
        </w:docPartObj>
      </w:sdtPr>
      <w:sdtEndPr>
        <w:rPr>
          <w:rFonts w:ascii="Times New Roman" w:hAnsi="Times New Roman" w:eastAsia="宋体" w:cs="Times New Roman"/>
          <w:b w:val="0"/>
          <w:bCs w:val="0"/>
          <w:color w:val="auto"/>
          <w:kern w:val="2"/>
          <w:sz w:val="21"/>
          <w:szCs w:val="24"/>
          <w:lang w:val="zh-CN"/>
        </w:rPr>
      </w:sdtEndPr>
      <w:sdtContent>
        <w:p w14:paraId="78D14174">
          <w:pPr>
            <w:pStyle w:val="69"/>
            <w:jc w:val="center"/>
            <w:rPr>
              <w:color w:val="auto"/>
              <w:sz w:val="36"/>
              <w:lang w:val="zh-CN"/>
            </w:rPr>
          </w:pPr>
          <w:r>
            <w:rPr>
              <w:color w:val="auto"/>
              <w:sz w:val="36"/>
              <w:lang w:val="zh-CN"/>
            </w:rPr>
            <w:t>目录</w:t>
          </w:r>
        </w:p>
        <w:p w14:paraId="009FBBCD">
          <w:pPr>
            <w:rPr>
              <w:lang w:val="zh-CN"/>
            </w:rPr>
          </w:pPr>
        </w:p>
        <w:p w14:paraId="4EBE132E">
          <w:pPr>
            <w:pStyle w:val="11"/>
            <w:tabs>
              <w:tab w:val="right" w:leader="dot" w:pos="8845"/>
            </w:tabs>
          </w:pPr>
          <w:r>
            <w:fldChar w:fldCharType="begin"/>
          </w:r>
          <w:r>
            <w:instrText xml:space="preserve"> TOC \o "1-3" \h \z \u </w:instrText>
          </w:r>
          <w:r>
            <w:fldChar w:fldCharType="separate"/>
          </w:r>
          <w:r>
            <w:fldChar w:fldCharType="begin"/>
          </w:r>
          <w:r>
            <w:instrText xml:space="preserve"> HYPERLINK \l _Toc11220 </w:instrText>
          </w:r>
          <w:r>
            <w:fldChar w:fldCharType="separate"/>
          </w:r>
          <w:r>
            <w:rPr>
              <w:rFonts w:ascii="黑体" w:hAnsi="黑体" w:cs="黑体"/>
              <w:bCs/>
              <w:szCs w:val="28"/>
            </w:rPr>
            <w:t>一、工作简况</w:t>
          </w:r>
          <w:r>
            <w:tab/>
          </w:r>
          <w:r>
            <w:fldChar w:fldCharType="begin"/>
          </w:r>
          <w:r>
            <w:instrText xml:space="preserve"> PAGEREF _Toc11220 \h </w:instrText>
          </w:r>
          <w:r>
            <w:fldChar w:fldCharType="separate"/>
          </w:r>
          <w:r>
            <w:t>1</w:t>
          </w:r>
          <w:r>
            <w:fldChar w:fldCharType="end"/>
          </w:r>
          <w:r>
            <w:fldChar w:fldCharType="end"/>
          </w:r>
        </w:p>
        <w:p w14:paraId="42476B0D">
          <w:pPr>
            <w:pStyle w:val="13"/>
            <w:tabs>
              <w:tab w:val="right" w:leader="dot" w:pos="8845"/>
            </w:tabs>
          </w:pPr>
          <w:r>
            <w:rPr>
              <w:bCs/>
              <w:lang w:val="zh-CN"/>
            </w:rPr>
            <w:fldChar w:fldCharType="begin"/>
          </w:r>
          <w:r>
            <w:rPr>
              <w:bCs/>
              <w:lang w:val="zh-CN"/>
            </w:rPr>
            <w:instrText xml:space="preserve"> HYPERLINK \l _Toc9342 </w:instrText>
          </w:r>
          <w:r>
            <w:rPr>
              <w:bCs/>
              <w:lang w:val="zh-CN"/>
            </w:rPr>
            <w:fldChar w:fldCharType="separate"/>
          </w:r>
          <w:r>
            <w:rPr>
              <w:rFonts w:hint="eastAsia" w:ascii="楷体_GB2312" w:hAnsi="楷体_GB2312" w:eastAsia="楷体_GB2312" w:cs="楷体_GB2312"/>
              <w:bCs/>
              <w:szCs w:val="28"/>
            </w:rPr>
            <w:t>（一）</w:t>
          </w:r>
          <w:r>
            <w:rPr>
              <w:rFonts w:ascii="楷体_GB2312" w:hAnsi="楷体_GB2312" w:eastAsia="楷体_GB2312" w:cs="楷体_GB2312"/>
              <w:bCs/>
              <w:szCs w:val="28"/>
            </w:rPr>
            <w:t>任务来源</w:t>
          </w:r>
          <w:r>
            <w:tab/>
          </w:r>
          <w:r>
            <w:fldChar w:fldCharType="begin"/>
          </w:r>
          <w:r>
            <w:instrText xml:space="preserve"> PAGEREF _Toc9342 \h </w:instrText>
          </w:r>
          <w:r>
            <w:fldChar w:fldCharType="separate"/>
          </w:r>
          <w:r>
            <w:t>1</w:t>
          </w:r>
          <w:r>
            <w:fldChar w:fldCharType="end"/>
          </w:r>
          <w:r>
            <w:rPr>
              <w:bCs/>
              <w:lang w:val="zh-CN"/>
            </w:rPr>
            <w:fldChar w:fldCharType="end"/>
          </w:r>
        </w:p>
        <w:p w14:paraId="0284090A">
          <w:pPr>
            <w:pStyle w:val="13"/>
            <w:tabs>
              <w:tab w:val="right" w:leader="dot" w:pos="8845"/>
            </w:tabs>
          </w:pPr>
          <w:r>
            <w:rPr>
              <w:bCs/>
              <w:lang w:val="zh-CN"/>
            </w:rPr>
            <w:fldChar w:fldCharType="begin"/>
          </w:r>
          <w:r>
            <w:rPr>
              <w:bCs/>
              <w:lang w:val="zh-CN"/>
            </w:rPr>
            <w:instrText xml:space="preserve"> HYPERLINK \l _Toc31221 </w:instrText>
          </w:r>
          <w:r>
            <w:rPr>
              <w:bCs/>
              <w:lang w:val="zh-CN"/>
            </w:rPr>
            <w:fldChar w:fldCharType="separate"/>
          </w:r>
          <w:r>
            <w:rPr>
              <w:rFonts w:hint="eastAsia" w:ascii="楷体_GB2312" w:hAnsi="楷体_GB2312" w:eastAsia="楷体_GB2312" w:cs="楷体_GB2312"/>
              <w:bCs/>
              <w:szCs w:val="28"/>
            </w:rPr>
            <w:t>（二）标准编制背景与目的意义</w:t>
          </w:r>
          <w:r>
            <w:tab/>
          </w:r>
          <w:r>
            <w:fldChar w:fldCharType="begin"/>
          </w:r>
          <w:r>
            <w:instrText xml:space="preserve"> PAGEREF _Toc31221 \h </w:instrText>
          </w:r>
          <w:r>
            <w:fldChar w:fldCharType="separate"/>
          </w:r>
          <w:r>
            <w:t>1</w:t>
          </w:r>
          <w:r>
            <w:fldChar w:fldCharType="end"/>
          </w:r>
          <w:r>
            <w:rPr>
              <w:bCs/>
              <w:lang w:val="zh-CN"/>
            </w:rPr>
            <w:fldChar w:fldCharType="end"/>
          </w:r>
        </w:p>
        <w:p w14:paraId="66B27D0D">
          <w:pPr>
            <w:pStyle w:val="13"/>
            <w:tabs>
              <w:tab w:val="right" w:leader="dot" w:pos="8845"/>
            </w:tabs>
          </w:pPr>
          <w:r>
            <w:rPr>
              <w:bCs/>
              <w:lang w:val="zh-CN"/>
            </w:rPr>
            <w:fldChar w:fldCharType="begin"/>
          </w:r>
          <w:r>
            <w:rPr>
              <w:bCs/>
              <w:lang w:val="zh-CN"/>
            </w:rPr>
            <w:instrText xml:space="preserve"> HYPERLINK \l _Toc25630 </w:instrText>
          </w:r>
          <w:r>
            <w:rPr>
              <w:bCs/>
              <w:lang w:val="zh-CN"/>
            </w:rPr>
            <w:fldChar w:fldCharType="separate"/>
          </w:r>
          <w:r>
            <w:rPr>
              <w:rFonts w:hint="eastAsia" w:ascii="楷体_GB2312" w:hAnsi="楷体_GB2312" w:eastAsia="楷体_GB2312" w:cs="楷体_GB2312"/>
              <w:bCs/>
              <w:szCs w:val="28"/>
            </w:rPr>
            <w:t>（三）起草过程</w:t>
          </w:r>
          <w:r>
            <w:tab/>
          </w:r>
          <w:r>
            <w:fldChar w:fldCharType="begin"/>
          </w:r>
          <w:r>
            <w:instrText xml:space="preserve"> PAGEREF _Toc25630 \h </w:instrText>
          </w:r>
          <w:r>
            <w:fldChar w:fldCharType="separate"/>
          </w:r>
          <w:r>
            <w:t>2</w:t>
          </w:r>
          <w:r>
            <w:fldChar w:fldCharType="end"/>
          </w:r>
          <w:r>
            <w:rPr>
              <w:bCs/>
              <w:lang w:val="zh-CN"/>
            </w:rPr>
            <w:fldChar w:fldCharType="end"/>
          </w:r>
        </w:p>
        <w:p w14:paraId="7CD62FF6">
          <w:pPr>
            <w:pStyle w:val="11"/>
            <w:tabs>
              <w:tab w:val="right" w:leader="dot" w:pos="8845"/>
            </w:tabs>
          </w:pPr>
          <w:r>
            <w:rPr>
              <w:bCs/>
              <w:lang w:val="zh-CN"/>
            </w:rPr>
            <w:fldChar w:fldCharType="begin"/>
          </w:r>
          <w:r>
            <w:rPr>
              <w:bCs/>
              <w:lang w:val="zh-CN"/>
            </w:rPr>
            <w:instrText xml:space="preserve"> HYPERLINK \l _Toc11044 </w:instrText>
          </w:r>
          <w:r>
            <w:rPr>
              <w:bCs/>
              <w:lang w:val="zh-CN"/>
            </w:rPr>
            <w:fldChar w:fldCharType="separate"/>
          </w:r>
          <w:r>
            <w:rPr>
              <w:rFonts w:ascii="黑体" w:hAnsi="黑体" w:cs="黑体"/>
              <w:bCs/>
              <w:szCs w:val="28"/>
            </w:rPr>
            <w:t>二、标准编制原则和确定标准主要内容的论据</w:t>
          </w:r>
          <w:r>
            <w:tab/>
          </w:r>
          <w:r>
            <w:fldChar w:fldCharType="begin"/>
          </w:r>
          <w:r>
            <w:instrText xml:space="preserve"> PAGEREF _Toc11044 \h </w:instrText>
          </w:r>
          <w:r>
            <w:fldChar w:fldCharType="separate"/>
          </w:r>
          <w:r>
            <w:t>3</w:t>
          </w:r>
          <w:r>
            <w:fldChar w:fldCharType="end"/>
          </w:r>
          <w:r>
            <w:rPr>
              <w:bCs/>
              <w:lang w:val="zh-CN"/>
            </w:rPr>
            <w:fldChar w:fldCharType="end"/>
          </w:r>
        </w:p>
        <w:p w14:paraId="5C249D3E">
          <w:pPr>
            <w:pStyle w:val="13"/>
            <w:tabs>
              <w:tab w:val="right" w:leader="dot" w:pos="8845"/>
            </w:tabs>
          </w:pPr>
          <w:r>
            <w:rPr>
              <w:bCs/>
              <w:lang w:val="zh-CN"/>
            </w:rPr>
            <w:fldChar w:fldCharType="begin"/>
          </w:r>
          <w:r>
            <w:rPr>
              <w:bCs/>
              <w:lang w:val="zh-CN"/>
            </w:rPr>
            <w:instrText xml:space="preserve"> HYPERLINK \l _Toc13824 </w:instrText>
          </w:r>
          <w:r>
            <w:rPr>
              <w:bCs/>
              <w:lang w:val="zh-CN"/>
            </w:rPr>
            <w:fldChar w:fldCharType="separate"/>
          </w:r>
          <w:r>
            <w:rPr>
              <w:rFonts w:hint="eastAsia" w:ascii="楷体_GB2312" w:hAnsi="楷体_GB2312" w:eastAsia="楷体_GB2312" w:cs="楷体_GB2312"/>
              <w:bCs/>
              <w:szCs w:val="28"/>
            </w:rPr>
            <w:t>（一）</w:t>
          </w:r>
          <w:r>
            <w:rPr>
              <w:rFonts w:ascii="楷体_GB2312" w:hAnsi="楷体_GB2312" w:eastAsia="楷体_GB2312" w:cs="楷体_GB2312"/>
              <w:bCs/>
              <w:szCs w:val="28"/>
            </w:rPr>
            <w:t>标准编制原则</w:t>
          </w:r>
          <w:r>
            <w:tab/>
          </w:r>
          <w:r>
            <w:fldChar w:fldCharType="begin"/>
          </w:r>
          <w:r>
            <w:instrText xml:space="preserve"> PAGEREF _Toc13824 \h </w:instrText>
          </w:r>
          <w:r>
            <w:fldChar w:fldCharType="separate"/>
          </w:r>
          <w:r>
            <w:t>3</w:t>
          </w:r>
          <w:r>
            <w:fldChar w:fldCharType="end"/>
          </w:r>
          <w:r>
            <w:rPr>
              <w:bCs/>
              <w:lang w:val="zh-CN"/>
            </w:rPr>
            <w:fldChar w:fldCharType="end"/>
          </w:r>
        </w:p>
        <w:p w14:paraId="08E382FE">
          <w:pPr>
            <w:pStyle w:val="13"/>
            <w:tabs>
              <w:tab w:val="right" w:leader="dot" w:pos="8845"/>
            </w:tabs>
          </w:pPr>
          <w:r>
            <w:rPr>
              <w:bCs/>
              <w:lang w:val="zh-CN"/>
            </w:rPr>
            <w:fldChar w:fldCharType="begin"/>
          </w:r>
          <w:r>
            <w:rPr>
              <w:bCs/>
              <w:lang w:val="zh-CN"/>
            </w:rPr>
            <w:instrText xml:space="preserve"> HYPERLINK \l _Toc25688 </w:instrText>
          </w:r>
          <w:r>
            <w:rPr>
              <w:bCs/>
              <w:lang w:val="zh-CN"/>
            </w:rPr>
            <w:fldChar w:fldCharType="separate"/>
          </w:r>
          <w:r>
            <w:rPr>
              <w:rFonts w:hint="eastAsia" w:ascii="楷体_GB2312" w:hAnsi="楷体_GB2312" w:eastAsia="楷体_GB2312" w:cs="楷体_GB2312"/>
              <w:bCs/>
              <w:szCs w:val="28"/>
            </w:rPr>
            <w:t>（二）标准适用范围</w:t>
          </w:r>
          <w:r>
            <w:tab/>
          </w:r>
          <w:r>
            <w:fldChar w:fldCharType="begin"/>
          </w:r>
          <w:r>
            <w:instrText xml:space="preserve"> PAGEREF _Toc25688 \h </w:instrText>
          </w:r>
          <w:r>
            <w:fldChar w:fldCharType="separate"/>
          </w:r>
          <w:r>
            <w:t>3</w:t>
          </w:r>
          <w:r>
            <w:fldChar w:fldCharType="end"/>
          </w:r>
          <w:r>
            <w:rPr>
              <w:bCs/>
              <w:lang w:val="zh-CN"/>
            </w:rPr>
            <w:fldChar w:fldCharType="end"/>
          </w:r>
        </w:p>
        <w:p w14:paraId="30791C64">
          <w:pPr>
            <w:pStyle w:val="13"/>
            <w:tabs>
              <w:tab w:val="right" w:leader="dot" w:pos="8845"/>
            </w:tabs>
          </w:pPr>
          <w:r>
            <w:rPr>
              <w:bCs/>
              <w:lang w:val="zh-CN"/>
            </w:rPr>
            <w:fldChar w:fldCharType="begin"/>
          </w:r>
          <w:r>
            <w:rPr>
              <w:bCs/>
              <w:lang w:val="zh-CN"/>
            </w:rPr>
            <w:instrText xml:space="preserve"> HYPERLINK \l _Toc24698 </w:instrText>
          </w:r>
          <w:r>
            <w:rPr>
              <w:bCs/>
              <w:lang w:val="zh-CN"/>
            </w:rPr>
            <w:fldChar w:fldCharType="separate"/>
          </w:r>
          <w:r>
            <w:rPr>
              <w:rFonts w:hint="eastAsia" w:ascii="楷体_GB2312" w:hAnsi="楷体_GB2312" w:eastAsia="楷体_GB2312" w:cs="楷体_GB2312"/>
              <w:bCs/>
              <w:szCs w:val="28"/>
            </w:rPr>
            <w:t>（三）术语和定义</w:t>
          </w:r>
          <w:r>
            <w:tab/>
          </w:r>
          <w:r>
            <w:fldChar w:fldCharType="begin"/>
          </w:r>
          <w:r>
            <w:instrText xml:space="preserve"> PAGEREF _Toc24698 \h </w:instrText>
          </w:r>
          <w:r>
            <w:fldChar w:fldCharType="separate"/>
          </w:r>
          <w:r>
            <w:t>3</w:t>
          </w:r>
          <w:r>
            <w:fldChar w:fldCharType="end"/>
          </w:r>
          <w:r>
            <w:rPr>
              <w:bCs/>
              <w:lang w:val="zh-CN"/>
            </w:rPr>
            <w:fldChar w:fldCharType="end"/>
          </w:r>
        </w:p>
        <w:p w14:paraId="08FF005E">
          <w:pPr>
            <w:pStyle w:val="13"/>
            <w:tabs>
              <w:tab w:val="right" w:leader="dot" w:pos="8845"/>
            </w:tabs>
          </w:pPr>
          <w:r>
            <w:rPr>
              <w:bCs/>
              <w:lang w:val="zh-CN"/>
            </w:rPr>
            <w:fldChar w:fldCharType="begin"/>
          </w:r>
          <w:r>
            <w:rPr>
              <w:bCs/>
              <w:lang w:val="zh-CN"/>
            </w:rPr>
            <w:instrText xml:space="preserve"> HYPERLINK \l _Toc15042 </w:instrText>
          </w:r>
          <w:r>
            <w:rPr>
              <w:bCs/>
              <w:lang w:val="zh-CN"/>
            </w:rPr>
            <w:fldChar w:fldCharType="separate"/>
          </w:r>
          <w:r>
            <w:rPr>
              <w:rFonts w:hint="eastAsia" w:ascii="楷体_GB2312" w:hAnsi="楷体_GB2312" w:eastAsia="楷体_GB2312" w:cs="楷体_GB2312"/>
              <w:bCs/>
              <w:szCs w:val="28"/>
            </w:rPr>
            <w:t>（四）主要章节内容说明</w:t>
          </w:r>
          <w:r>
            <w:tab/>
          </w:r>
          <w:r>
            <w:fldChar w:fldCharType="begin"/>
          </w:r>
          <w:r>
            <w:instrText xml:space="preserve"> PAGEREF _Toc15042 \h </w:instrText>
          </w:r>
          <w:r>
            <w:fldChar w:fldCharType="separate"/>
          </w:r>
          <w:r>
            <w:t>4</w:t>
          </w:r>
          <w:r>
            <w:fldChar w:fldCharType="end"/>
          </w:r>
          <w:r>
            <w:rPr>
              <w:bCs/>
              <w:lang w:val="zh-CN"/>
            </w:rPr>
            <w:fldChar w:fldCharType="end"/>
          </w:r>
        </w:p>
        <w:p w14:paraId="1F9C662D">
          <w:pPr>
            <w:pStyle w:val="11"/>
            <w:tabs>
              <w:tab w:val="right" w:leader="dot" w:pos="8845"/>
            </w:tabs>
          </w:pPr>
          <w:r>
            <w:rPr>
              <w:bCs/>
              <w:lang w:val="zh-CN"/>
            </w:rPr>
            <w:fldChar w:fldCharType="begin"/>
          </w:r>
          <w:r>
            <w:rPr>
              <w:bCs/>
              <w:lang w:val="zh-CN"/>
            </w:rPr>
            <w:instrText xml:space="preserve"> HYPERLINK \l _Toc21329 </w:instrText>
          </w:r>
          <w:r>
            <w:rPr>
              <w:bCs/>
              <w:lang w:val="zh-CN"/>
            </w:rPr>
            <w:fldChar w:fldCharType="separate"/>
          </w:r>
          <w:r>
            <w:rPr>
              <w:rFonts w:hint="eastAsia" w:ascii="黑体" w:hAnsi="黑体" w:cs="黑体"/>
              <w:bCs/>
              <w:szCs w:val="28"/>
            </w:rPr>
            <w:t>三、技术经济论证和预期的经济效益、社会效益</w:t>
          </w:r>
          <w:r>
            <w:tab/>
          </w:r>
          <w:r>
            <w:fldChar w:fldCharType="begin"/>
          </w:r>
          <w:r>
            <w:instrText xml:space="preserve"> PAGEREF _Toc21329 \h </w:instrText>
          </w:r>
          <w:r>
            <w:fldChar w:fldCharType="separate"/>
          </w:r>
          <w:r>
            <w:t>5</w:t>
          </w:r>
          <w:r>
            <w:fldChar w:fldCharType="end"/>
          </w:r>
          <w:r>
            <w:rPr>
              <w:bCs/>
              <w:lang w:val="zh-CN"/>
            </w:rPr>
            <w:fldChar w:fldCharType="end"/>
          </w:r>
        </w:p>
        <w:p w14:paraId="47359C8F">
          <w:pPr>
            <w:pStyle w:val="13"/>
            <w:tabs>
              <w:tab w:val="right" w:leader="dot" w:pos="8845"/>
            </w:tabs>
          </w:pPr>
          <w:r>
            <w:rPr>
              <w:bCs/>
              <w:lang w:val="zh-CN"/>
            </w:rPr>
            <w:fldChar w:fldCharType="begin"/>
          </w:r>
          <w:r>
            <w:rPr>
              <w:bCs/>
              <w:lang w:val="zh-CN"/>
            </w:rPr>
            <w:instrText xml:space="preserve"> HYPERLINK \l _Toc6434 </w:instrText>
          </w:r>
          <w:r>
            <w:rPr>
              <w:bCs/>
              <w:lang w:val="zh-CN"/>
            </w:rPr>
            <w:fldChar w:fldCharType="separate"/>
          </w:r>
          <w:r>
            <w:rPr>
              <w:rFonts w:hint="eastAsia" w:ascii="楷体_GB2312" w:hAnsi="楷体_GB2312" w:eastAsia="楷体_GB2312" w:cs="楷体_GB2312"/>
              <w:bCs/>
              <w:szCs w:val="28"/>
            </w:rPr>
            <w:t>（一）技术论证</w:t>
          </w:r>
          <w:r>
            <w:tab/>
          </w:r>
          <w:r>
            <w:fldChar w:fldCharType="begin"/>
          </w:r>
          <w:r>
            <w:instrText xml:space="preserve"> PAGEREF _Toc6434 \h </w:instrText>
          </w:r>
          <w:r>
            <w:fldChar w:fldCharType="separate"/>
          </w:r>
          <w:r>
            <w:t>5</w:t>
          </w:r>
          <w:r>
            <w:fldChar w:fldCharType="end"/>
          </w:r>
          <w:r>
            <w:rPr>
              <w:bCs/>
              <w:lang w:val="zh-CN"/>
            </w:rPr>
            <w:fldChar w:fldCharType="end"/>
          </w:r>
        </w:p>
        <w:p w14:paraId="641B8D62">
          <w:pPr>
            <w:pStyle w:val="13"/>
            <w:tabs>
              <w:tab w:val="right" w:leader="dot" w:pos="8845"/>
            </w:tabs>
          </w:pPr>
          <w:r>
            <w:rPr>
              <w:bCs/>
              <w:lang w:val="zh-CN"/>
            </w:rPr>
            <w:fldChar w:fldCharType="begin"/>
          </w:r>
          <w:r>
            <w:rPr>
              <w:bCs/>
              <w:lang w:val="zh-CN"/>
            </w:rPr>
            <w:instrText xml:space="preserve"> HYPERLINK \l _Toc18467 </w:instrText>
          </w:r>
          <w:r>
            <w:rPr>
              <w:bCs/>
              <w:lang w:val="zh-CN"/>
            </w:rPr>
            <w:fldChar w:fldCharType="separate"/>
          </w:r>
          <w:r>
            <w:rPr>
              <w:rFonts w:hint="eastAsia" w:ascii="楷体_GB2312" w:hAnsi="楷体_GB2312" w:eastAsia="楷体_GB2312" w:cs="楷体_GB2312"/>
              <w:bCs/>
              <w:szCs w:val="28"/>
            </w:rPr>
            <w:t>（二）</w:t>
          </w:r>
          <w:r>
            <w:rPr>
              <w:rFonts w:ascii="楷体_GB2312" w:hAnsi="楷体_GB2312" w:eastAsia="楷体_GB2312" w:cs="楷体_GB2312"/>
              <w:bCs/>
              <w:szCs w:val="28"/>
            </w:rPr>
            <w:t>预期经济效果</w:t>
          </w:r>
          <w:r>
            <w:tab/>
          </w:r>
          <w:r>
            <w:fldChar w:fldCharType="begin"/>
          </w:r>
          <w:r>
            <w:instrText xml:space="preserve"> PAGEREF _Toc18467 \h </w:instrText>
          </w:r>
          <w:r>
            <w:fldChar w:fldCharType="separate"/>
          </w:r>
          <w:r>
            <w:t>5</w:t>
          </w:r>
          <w:r>
            <w:fldChar w:fldCharType="end"/>
          </w:r>
          <w:r>
            <w:rPr>
              <w:bCs/>
              <w:lang w:val="zh-CN"/>
            </w:rPr>
            <w:fldChar w:fldCharType="end"/>
          </w:r>
        </w:p>
        <w:p w14:paraId="619D24BC">
          <w:pPr>
            <w:pStyle w:val="13"/>
            <w:tabs>
              <w:tab w:val="right" w:leader="dot" w:pos="8845"/>
            </w:tabs>
          </w:pPr>
          <w:r>
            <w:rPr>
              <w:bCs/>
              <w:lang w:val="zh-CN"/>
            </w:rPr>
            <w:fldChar w:fldCharType="begin"/>
          </w:r>
          <w:r>
            <w:rPr>
              <w:bCs/>
              <w:lang w:val="zh-CN"/>
            </w:rPr>
            <w:instrText xml:space="preserve"> HYPERLINK \l _Toc27894 </w:instrText>
          </w:r>
          <w:r>
            <w:rPr>
              <w:bCs/>
              <w:lang w:val="zh-CN"/>
            </w:rPr>
            <w:fldChar w:fldCharType="separate"/>
          </w:r>
          <w:r>
            <w:rPr>
              <w:rFonts w:hint="eastAsia" w:ascii="楷体_GB2312" w:hAnsi="楷体_GB2312" w:eastAsia="楷体_GB2312" w:cs="楷体_GB2312"/>
              <w:bCs/>
              <w:szCs w:val="28"/>
            </w:rPr>
            <w:t>（三）社会效益</w:t>
          </w:r>
          <w:r>
            <w:tab/>
          </w:r>
          <w:r>
            <w:fldChar w:fldCharType="begin"/>
          </w:r>
          <w:r>
            <w:instrText xml:space="preserve"> PAGEREF _Toc27894 \h </w:instrText>
          </w:r>
          <w:r>
            <w:fldChar w:fldCharType="separate"/>
          </w:r>
          <w:r>
            <w:t>5</w:t>
          </w:r>
          <w:r>
            <w:fldChar w:fldCharType="end"/>
          </w:r>
          <w:r>
            <w:rPr>
              <w:bCs/>
              <w:lang w:val="zh-CN"/>
            </w:rPr>
            <w:fldChar w:fldCharType="end"/>
          </w:r>
        </w:p>
        <w:p w14:paraId="0A8469D9">
          <w:pPr>
            <w:pStyle w:val="11"/>
            <w:tabs>
              <w:tab w:val="right" w:leader="dot" w:pos="8845"/>
            </w:tabs>
          </w:pPr>
          <w:r>
            <w:rPr>
              <w:bCs/>
              <w:lang w:val="zh-CN"/>
            </w:rPr>
            <w:fldChar w:fldCharType="begin"/>
          </w:r>
          <w:r>
            <w:rPr>
              <w:bCs/>
              <w:lang w:val="zh-CN"/>
            </w:rPr>
            <w:instrText xml:space="preserve"> HYPERLINK \l _Toc3945 </w:instrText>
          </w:r>
          <w:r>
            <w:rPr>
              <w:bCs/>
              <w:lang w:val="zh-CN"/>
            </w:rPr>
            <w:fldChar w:fldCharType="separate"/>
          </w:r>
          <w:r>
            <w:rPr>
              <w:rFonts w:hint="eastAsia" w:ascii="黑体" w:hAnsi="黑体" w:cs="黑体"/>
              <w:bCs/>
              <w:szCs w:val="28"/>
            </w:rPr>
            <w:t>四、与国际、国外同类标准技术内容的对比情况</w:t>
          </w:r>
          <w:r>
            <w:tab/>
          </w:r>
          <w:r>
            <w:fldChar w:fldCharType="begin"/>
          </w:r>
          <w:r>
            <w:instrText xml:space="preserve"> PAGEREF _Toc3945 \h </w:instrText>
          </w:r>
          <w:r>
            <w:fldChar w:fldCharType="separate"/>
          </w:r>
          <w:r>
            <w:t>5</w:t>
          </w:r>
          <w:r>
            <w:fldChar w:fldCharType="end"/>
          </w:r>
          <w:r>
            <w:rPr>
              <w:bCs/>
              <w:lang w:val="zh-CN"/>
            </w:rPr>
            <w:fldChar w:fldCharType="end"/>
          </w:r>
        </w:p>
        <w:p w14:paraId="355521DA">
          <w:pPr>
            <w:pStyle w:val="11"/>
            <w:tabs>
              <w:tab w:val="right" w:leader="dot" w:pos="8845"/>
            </w:tabs>
          </w:pPr>
          <w:r>
            <w:rPr>
              <w:bCs/>
              <w:lang w:val="zh-CN"/>
            </w:rPr>
            <w:fldChar w:fldCharType="begin"/>
          </w:r>
          <w:r>
            <w:rPr>
              <w:bCs/>
              <w:lang w:val="zh-CN"/>
            </w:rPr>
            <w:instrText xml:space="preserve"> HYPERLINK \l _Toc16892 </w:instrText>
          </w:r>
          <w:r>
            <w:rPr>
              <w:bCs/>
              <w:lang w:val="zh-CN"/>
            </w:rPr>
            <w:fldChar w:fldCharType="separate"/>
          </w:r>
          <w:r>
            <w:rPr>
              <w:rFonts w:hint="eastAsia" w:ascii="黑体" w:hAnsi="黑体" w:cs="黑体"/>
              <w:bCs/>
              <w:szCs w:val="28"/>
            </w:rPr>
            <w:t>五、以国际标准为基础的起草情况，以及是否合规引用或者采用国际国外标准，并说明未采用国际标准的原因</w:t>
          </w:r>
          <w:r>
            <w:tab/>
          </w:r>
          <w:r>
            <w:fldChar w:fldCharType="begin"/>
          </w:r>
          <w:r>
            <w:instrText xml:space="preserve"> PAGEREF _Toc16892 \h </w:instrText>
          </w:r>
          <w:r>
            <w:fldChar w:fldCharType="separate"/>
          </w:r>
          <w:r>
            <w:t>5</w:t>
          </w:r>
          <w:r>
            <w:fldChar w:fldCharType="end"/>
          </w:r>
          <w:r>
            <w:rPr>
              <w:bCs/>
              <w:lang w:val="zh-CN"/>
            </w:rPr>
            <w:fldChar w:fldCharType="end"/>
          </w:r>
        </w:p>
        <w:p w14:paraId="2143226E">
          <w:pPr>
            <w:pStyle w:val="11"/>
            <w:tabs>
              <w:tab w:val="right" w:leader="dot" w:pos="8845"/>
            </w:tabs>
          </w:pPr>
          <w:r>
            <w:rPr>
              <w:bCs/>
              <w:lang w:val="zh-CN"/>
            </w:rPr>
            <w:fldChar w:fldCharType="begin"/>
          </w:r>
          <w:r>
            <w:rPr>
              <w:bCs/>
              <w:lang w:val="zh-CN"/>
            </w:rPr>
            <w:instrText xml:space="preserve"> HYPERLINK \l _Toc13931 </w:instrText>
          </w:r>
          <w:r>
            <w:rPr>
              <w:bCs/>
              <w:lang w:val="zh-CN"/>
            </w:rPr>
            <w:fldChar w:fldCharType="separate"/>
          </w:r>
          <w:r>
            <w:rPr>
              <w:rFonts w:hint="eastAsia" w:ascii="黑体" w:hAnsi="黑体" w:cs="黑体"/>
              <w:bCs/>
              <w:szCs w:val="28"/>
            </w:rPr>
            <w:t>六、与有关法律、行政法规及相关标准的关系</w:t>
          </w:r>
          <w:r>
            <w:tab/>
          </w:r>
          <w:r>
            <w:fldChar w:fldCharType="begin"/>
          </w:r>
          <w:r>
            <w:instrText xml:space="preserve"> PAGEREF _Toc13931 \h </w:instrText>
          </w:r>
          <w:r>
            <w:fldChar w:fldCharType="separate"/>
          </w:r>
          <w:r>
            <w:t>6</w:t>
          </w:r>
          <w:r>
            <w:fldChar w:fldCharType="end"/>
          </w:r>
          <w:r>
            <w:rPr>
              <w:bCs/>
              <w:lang w:val="zh-CN"/>
            </w:rPr>
            <w:fldChar w:fldCharType="end"/>
          </w:r>
        </w:p>
        <w:p w14:paraId="4BF3DEED">
          <w:pPr>
            <w:pStyle w:val="11"/>
            <w:tabs>
              <w:tab w:val="right" w:leader="dot" w:pos="8845"/>
            </w:tabs>
          </w:pPr>
          <w:r>
            <w:rPr>
              <w:bCs/>
              <w:lang w:val="zh-CN"/>
            </w:rPr>
            <w:fldChar w:fldCharType="begin"/>
          </w:r>
          <w:r>
            <w:rPr>
              <w:bCs/>
              <w:lang w:val="zh-CN"/>
            </w:rPr>
            <w:instrText xml:space="preserve"> HYPERLINK \l _Toc26328 </w:instrText>
          </w:r>
          <w:r>
            <w:rPr>
              <w:bCs/>
              <w:lang w:val="zh-CN"/>
            </w:rPr>
            <w:fldChar w:fldCharType="separate"/>
          </w:r>
          <w:r>
            <w:rPr>
              <w:rFonts w:hint="eastAsia" w:ascii="黑体" w:hAnsi="黑体" w:cs="黑体"/>
              <w:bCs/>
              <w:szCs w:val="28"/>
            </w:rPr>
            <w:t>七、重大分歧意见的处理经过和依据</w:t>
          </w:r>
          <w:r>
            <w:tab/>
          </w:r>
          <w:r>
            <w:fldChar w:fldCharType="begin"/>
          </w:r>
          <w:r>
            <w:instrText xml:space="preserve"> PAGEREF _Toc26328 \h </w:instrText>
          </w:r>
          <w:r>
            <w:fldChar w:fldCharType="separate"/>
          </w:r>
          <w:r>
            <w:t>6</w:t>
          </w:r>
          <w:r>
            <w:fldChar w:fldCharType="end"/>
          </w:r>
          <w:r>
            <w:rPr>
              <w:bCs/>
              <w:lang w:val="zh-CN"/>
            </w:rPr>
            <w:fldChar w:fldCharType="end"/>
          </w:r>
        </w:p>
        <w:p w14:paraId="2E00C31A">
          <w:pPr>
            <w:pStyle w:val="11"/>
            <w:tabs>
              <w:tab w:val="right" w:leader="dot" w:pos="8845"/>
            </w:tabs>
          </w:pPr>
          <w:r>
            <w:rPr>
              <w:bCs/>
              <w:lang w:val="zh-CN"/>
            </w:rPr>
            <w:fldChar w:fldCharType="begin"/>
          </w:r>
          <w:r>
            <w:rPr>
              <w:bCs/>
              <w:lang w:val="zh-CN"/>
            </w:rPr>
            <w:instrText xml:space="preserve"> HYPERLINK \l _Toc21967 </w:instrText>
          </w:r>
          <w:r>
            <w:rPr>
              <w:bCs/>
              <w:lang w:val="zh-CN"/>
            </w:rPr>
            <w:fldChar w:fldCharType="separate"/>
          </w:r>
          <w:r>
            <w:rPr>
              <w:rFonts w:hint="eastAsia" w:ascii="黑体" w:hAnsi="黑体" w:cs="黑体"/>
              <w:bCs/>
              <w:szCs w:val="28"/>
            </w:rPr>
            <w:t>八、涉及专利的有关说明</w:t>
          </w:r>
          <w:r>
            <w:tab/>
          </w:r>
          <w:r>
            <w:fldChar w:fldCharType="begin"/>
          </w:r>
          <w:r>
            <w:instrText xml:space="preserve"> PAGEREF _Toc21967 \h </w:instrText>
          </w:r>
          <w:r>
            <w:fldChar w:fldCharType="separate"/>
          </w:r>
          <w:r>
            <w:t>6</w:t>
          </w:r>
          <w:r>
            <w:fldChar w:fldCharType="end"/>
          </w:r>
          <w:r>
            <w:rPr>
              <w:bCs/>
              <w:lang w:val="zh-CN"/>
            </w:rPr>
            <w:fldChar w:fldCharType="end"/>
          </w:r>
        </w:p>
        <w:p w14:paraId="42B172FC">
          <w:pPr>
            <w:pStyle w:val="11"/>
            <w:tabs>
              <w:tab w:val="right" w:leader="dot" w:pos="8845"/>
            </w:tabs>
          </w:pPr>
          <w:r>
            <w:rPr>
              <w:bCs/>
              <w:lang w:val="zh-CN"/>
            </w:rPr>
            <w:fldChar w:fldCharType="begin"/>
          </w:r>
          <w:r>
            <w:rPr>
              <w:bCs/>
              <w:lang w:val="zh-CN"/>
            </w:rPr>
            <w:instrText xml:space="preserve"> HYPERLINK \l _Toc19427 </w:instrText>
          </w:r>
          <w:r>
            <w:rPr>
              <w:bCs/>
              <w:lang w:val="zh-CN"/>
            </w:rPr>
            <w:fldChar w:fldCharType="separate"/>
          </w:r>
          <w:r>
            <w:rPr>
              <w:rFonts w:hint="eastAsia" w:ascii="黑体" w:hAnsi="黑体" w:cs="黑体"/>
              <w:bCs/>
              <w:szCs w:val="28"/>
            </w:rPr>
            <w:t>九、标准实施要求和措施建议</w:t>
          </w:r>
          <w:r>
            <w:tab/>
          </w:r>
          <w:r>
            <w:fldChar w:fldCharType="begin"/>
          </w:r>
          <w:r>
            <w:instrText xml:space="preserve"> PAGEREF _Toc19427 \h </w:instrText>
          </w:r>
          <w:r>
            <w:fldChar w:fldCharType="separate"/>
          </w:r>
          <w:r>
            <w:t>6</w:t>
          </w:r>
          <w:r>
            <w:fldChar w:fldCharType="end"/>
          </w:r>
          <w:r>
            <w:rPr>
              <w:bCs/>
              <w:lang w:val="zh-CN"/>
            </w:rPr>
            <w:fldChar w:fldCharType="end"/>
          </w:r>
        </w:p>
        <w:p w14:paraId="4FED9989">
          <w:pPr>
            <w:pStyle w:val="13"/>
            <w:tabs>
              <w:tab w:val="right" w:leader="dot" w:pos="8845"/>
            </w:tabs>
          </w:pPr>
          <w:r>
            <w:rPr>
              <w:bCs/>
              <w:lang w:val="zh-CN"/>
            </w:rPr>
            <w:fldChar w:fldCharType="begin"/>
          </w:r>
          <w:r>
            <w:rPr>
              <w:bCs/>
              <w:lang w:val="zh-CN"/>
            </w:rPr>
            <w:instrText xml:space="preserve"> HYPERLINK \l _Toc5551 </w:instrText>
          </w:r>
          <w:r>
            <w:rPr>
              <w:bCs/>
              <w:lang w:val="zh-CN"/>
            </w:rPr>
            <w:fldChar w:fldCharType="separate"/>
          </w:r>
          <w:r>
            <w:rPr>
              <w:rFonts w:hint="eastAsia" w:ascii="楷体_GB2312" w:hAnsi="楷体_GB2312" w:eastAsia="楷体_GB2312" w:cs="楷体_GB2312"/>
              <w:bCs/>
              <w:szCs w:val="28"/>
            </w:rPr>
            <w:t>（一）实施要求</w:t>
          </w:r>
          <w:r>
            <w:tab/>
          </w:r>
          <w:r>
            <w:fldChar w:fldCharType="begin"/>
          </w:r>
          <w:r>
            <w:instrText xml:space="preserve"> PAGEREF _Toc5551 \h </w:instrText>
          </w:r>
          <w:r>
            <w:fldChar w:fldCharType="separate"/>
          </w:r>
          <w:r>
            <w:t>6</w:t>
          </w:r>
          <w:r>
            <w:fldChar w:fldCharType="end"/>
          </w:r>
          <w:r>
            <w:rPr>
              <w:bCs/>
              <w:lang w:val="zh-CN"/>
            </w:rPr>
            <w:fldChar w:fldCharType="end"/>
          </w:r>
        </w:p>
        <w:p w14:paraId="25F90035">
          <w:pPr>
            <w:pStyle w:val="13"/>
            <w:tabs>
              <w:tab w:val="right" w:leader="dot" w:pos="8845"/>
            </w:tabs>
          </w:pPr>
          <w:r>
            <w:rPr>
              <w:bCs/>
              <w:lang w:val="zh-CN"/>
            </w:rPr>
            <w:fldChar w:fldCharType="begin"/>
          </w:r>
          <w:r>
            <w:rPr>
              <w:bCs/>
              <w:lang w:val="zh-CN"/>
            </w:rPr>
            <w:instrText xml:space="preserve"> HYPERLINK \l _Toc5478 </w:instrText>
          </w:r>
          <w:r>
            <w:rPr>
              <w:bCs/>
              <w:lang w:val="zh-CN"/>
            </w:rPr>
            <w:fldChar w:fldCharType="separate"/>
          </w:r>
          <w:r>
            <w:rPr>
              <w:rFonts w:hint="eastAsia" w:ascii="楷体_GB2312" w:hAnsi="楷体_GB2312" w:eastAsia="楷体_GB2312" w:cs="楷体_GB2312"/>
              <w:bCs/>
              <w:szCs w:val="28"/>
            </w:rPr>
            <w:t>（二）措施建议</w:t>
          </w:r>
          <w:r>
            <w:tab/>
          </w:r>
          <w:r>
            <w:fldChar w:fldCharType="begin"/>
          </w:r>
          <w:r>
            <w:instrText xml:space="preserve"> PAGEREF _Toc5478 \h </w:instrText>
          </w:r>
          <w:r>
            <w:fldChar w:fldCharType="separate"/>
          </w:r>
          <w:r>
            <w:t>7</w:t>
          </w:r>
          <w:r>
            <w:fldChar w:fldCharType="end"/>
          </w:r>
          <w:r>
            <w:rPr>
              <w:bCs/>
              <w:lang w:val="zh-CN"/>
            </w:rPr>
            <w:fldChar w:fldCharType="end"/>
          </w:r>
        </w:p>
        <w:p w14:paraId="0F7F3948">
          <w:pPr>
            <w:pStyle w:val="11"/>
            <w:tabs>
              <w:tab w:val="right" w:leader="dot" w:pos="8845"/>
            </w:tabs>
          </w:pPr>
          <w:r>
            <w:rPr>
              <w:bCs/>
              <w:lang w:val="zh-CN"/>
            </w:rPr>
            <w:fldChar w:fldCharType="begin"/>
          </w:r>
          <w:r>
            <w:rPr>
              <w:bCs/>
              <w:lang w:val="zh-CN"/>
            </w:rPr>
            <w:instrText xml:space="preserve"> HYPERLINK \l _Toc7004 </w:instrText>
          </w:r>
          <w:r>
            <w:rPr>
              <w:bCs/>
              <w:lang w:val="zh-CN"/>
            </w:rPr>
            <w:fldChar w:fldCharType="separate"/>
          </w:r>
          <w:r>
            <w:rPr>
              <w:rFonts w:hint="eastAsia" w:ascii="黑体" w:hAnsi="黑体" w:cs="黑体"/>
              <w:bCs/>
              <w:szCs w:val="28"/>
            </w:rPr>
            <w:t>十、其他应予说明的事项</w:t>
          </w:r>
          <w:r>
            <w:tab/>
          </w:r>
          <w:r>
            <w:fldChar w:fldCharType="begin"/>
          </w:r>
          <w:r>
            <w:instrText xml:space="preserve"> PAGEREF _Toc7004 \h </w:instrText>
          </w:r>
          <w:r>
            <w:fldChar w:fldCharType="separate"/>
          </w:r>
          <w:r>
            <w:t>7</w:t>
          </w:r>
          <w:r>
            <w:fldChar w:fldCharType="end"/>
          </w:r>
          <w:r>
            <w:rPr>
              <w:bCs/>
              <w:lang w:val="zh-CN"/>
            </w:rPr>
            <w:fldChar w:fldCharType="end"/>
          </w:r>
        </w:p>
        <w:p w14:paraId="733FF891">
          <w:pPr>
            <w:spacing w:line="360" w:lineRule="auto"/>
          </w:pPr>
          <w:r>
            <w:rPr>
              <w:bCs/>
              <w:lang w:val="zh-CN"/>
            </w:rPr>
            <w:fldChar w:fldCharType="end"/>
          </w:r>
        </w:p>
      </w:sdtContent>
    </w:sdt>
    <w:p w14:paraId="34BACA98">
      <w:pPr>
        <w:widowControl/>
        <w:jc w:val="center"/>
        <w:rPr>
          <w:rFonts w:ascii="宋体" w:hAnsi="宋体" w:cs="宋体"/>
          <w:color w:val="000000"/>
          <w:szCs w:val="36"/>
        </w:rPr>
        <w:sectPr>
          <w:footerReference r:id="rId6" w:type="first"/>
          <w:footerReference r:id="rId5" w:type="default"/>
          <w:pgSz w:w="11906" w:h="16838"/>
          <w:pgMar w:top="2098" w:right="1474" w:bottom="1417" w:left="1587" w:header="850" w:footer="1134" w:gutter="0"/>
          <w:pgNumType w:fmt="upperRoman" w:start="1"/>
          <w:cols w:space="720" w:num="1"/>
          <w:titlePg/>
          <w:docGrid w:linePitch="312" w:charSpace="0"/>
        </w:sectPr>
      </w:pPr>
      <w:bookmarkStart w:id="37" w:name="_GoBack"/>
      <w:bookmarkEnd w:id="37"/>
    </w:p>
    <w:p w14:paraId="426EDFF1">
      <w:pPr>
        <w:spacing w:line="600" w:lineRule="exact"/>
        <w:jc w:val="center"/>
        <w:rPr>
          <w:b/>
          <w:sz w:val="36"/>
        </w:rPr>
      </w:pPr>
      <w:r>
        <w:rPr>
          <w:rFonts w:hint="eastAsia"/>
          <w:b/>
          <w:sz w:val="36"/>
        </w:rPr>
        <w:t>团体标准《湛江市知识产权公共服务中心服务规范（征求意见稿）》</w:t>
      </w:r>
      <w:r>
        <w:rPr>
          <w:b/>
          <w:sz w:val="36"/>
        </w:rPr>
        <w:t>编制说明</w:t>
      </w:r>
    </w:p>
    <w:p w14:paraId="2F56B396">
      <w:pPr>
        <w:spacing w:line="600" w:lineRule="exact"/>
        <w:jc w:val="center"/>
        <w:rPr>
          <w:b/>
          <w:sz w:val="36"/>
        </w:rPr>
      </w:pPr>
    </w:p>
    <w:p w14:paraId="2C8E676F">
      <w:pPr>
        <w:pStyle w:val="66"/>
        <w:spacing w:line="508" w:lineRule="exact"/>
        <w:ind w:firstLine="560" w:firstLineChars="200"/>
        <w:rPr>
          <w:rFonts w:ascii="黑体" w:hAnsi="黑体" w:cs="黑体"/>
          <w:b w:val="0"/>
          <w:bCs/>
          <w:color w:val="000000"/>
          <w:sz w:val="28"/>
          <w:szCs w:val="28"/>
        </w:rPr>
      </w:pPr>
      <w:bookmarkStart w:id="0" w:name="_Toc11220"/>
      <w:r>
        <w:rPr>
          <w:rFonts w:ascii="黑体" w:hAnsi="黑体" w:cs="黑体"/>
          <w:b w:val="0"/>
          <w:bCs/>
          <w:color w:val="000000"/>
          <w:sz w:val="28"/>
          <w:szCs w:val="28"/>
        </w:rPr>
        <w:t>一、工作简况</w:t>
      </w:r>
      <w:bookmarkEnd w:id="0"/>
    </w:p>
    <w:p w14:paraId="57651A2D">
      <w:pPr>
        <w:pStyle w:val="67"/>
        <w:spacing w:line="508" w:lineRule="exact"/>
        <w:ind w:firstLine="560" w:firstLineChars="200"/>
        <w:rPr>
          <w:rFonts w:ascii="楷体_GB2312" w:hAnsi="楷体_GB2312" w:eastAsia="楷体_GB2312" w:cs="楷体_GB2312"/>
          <w:b w:val="0"/>
          <w:bCs/>
          <w:color w:val="000000"/>
          <w:sz w:val="28"/>
          <w:szCs w:val="28"/>
        </w:rPr>
      </w:pPr>
      <w:bookmarkStart w:id="1" w:name="_Toc9342"/>
      <w:r>
        <w:rPr>
          <w:rFonts w:hint="eastAsia" w:ascii="楷体_GB2312" w:hAnsi="楷体_GB2312" w:eastAsia="楷体_GB2312" w:cs="楷体_GB2312"/>
          <w:b w:val="0"/>
          <w:bCs/>
          <w:color w:val="000000"/>
          <w:sz w:val="28"/>
          <w:szCs w:val="28"/>
        </w:rPr>
        <w:t>（一）</w:t>
      </w:r>
      <w:r>
        <w:rPr>
          <w:rFonts w:ascii="楷体_GB2312" w:hAnsi="楷体_GB2312" w:eastAsia="楷体_GB2312" w:cs="楷体_GB2312"/>
          <w:b w:val="0"/>
          <w:bCs/>
          <w:color w:val="000000"/>
          <w:sz w:val="28"/>
          <w:szCs w:val="28"/>
        </w:rPr>
        <w:t>任务来源</w:t>
      </w:r>
      <w:bookmarkEnd w:id="1"/>
    </w:p>
    <w:p w14:paraId="21F2972F">
      <w:pPr>
        <w:spacing w:line="600" w:lineRule="exact"/>
        <w:ind w:firstLine="480" w:firstLineChars="200"/>
        <w:rPr>
          <w:sz w:val="24"/>
        </w:rPr>
      </w:pPr>
      <w:r>
        <w:rPr>
          <w:rFonts w:hint="eastAsia"/>
          <w:sz w:val="24"/>
        </w:rPr>
        <w:t>根据湛江市市场监督管理局《关于下达2026年度省级市场监管管理专项资金知识产权促进类转移市县专项资金项目任务的通知》（湛市监促〔2026〕68号）附件3《广东省知识产权公共服务体系建设（湛江知识产权公共服务节点能力提升项目）任务书》，“制订知识产权公共服务中心服务规范标准”被列入项目主要工作任务。本标准由湛江市标准化协会提出并立项，广东省湛江市质量技术监督标准与编码所牵头，联合湛江市知识产权保护中心、湛江市标准化协会共同起草。</w:t>
      </w:r>
    </w:p>
    <w:p w14:paraId="338BA75C">
      <w:pPr>
        <w:pStyle w:val="67"/>
        <w:spacing w:line="508" w:lineRule="exact"/>
        <w:ind w:firstLine="560" w:firstLineChars="200"/>
        <w:rPr>
          <w:rFonts w:ascii="楷体_GB2312" w:hAnsi="楷体_GB2312" w:eastAsia="楷体_GB2312" w:cs="楷体_GB2312"/>
          <w:b w:val="0"/>
          <w:bCs/>
          <w:color w:val="000000"/>
          <w:sz w:val="28"/>
          <w:szCs w:val="28"/>
        </w:rPr>
      </w:pPr>
      <w:bookmarkStart w:id="2" w:name="_Toc31221"/>
      <w:r>
        <w:rPr>
          <w:rFonts w:hint="eastAsia" w:ascii="楷体_GB2312" w:hAnsi="楷体_GB2312" w:eastAsia="楷体_GB2312" w:cs="楷体_GB2312"/>
          <w:b w:val="0"/>
          <w:bCs/>
          <w:color w:val="000000"/>
          <w:sz w:val="28"/>
          <w:szCs w:val="28"/>
        </w:rPr>
        <w:t>（二）标准编制背景与目的意义</w:t>
      </w:r>
      <w:bookmarkEnd w:id="2"/>
    </w:p>
    <w:p w14:paraId="4ECB149D">
      <w:pPr>
        <w:spacing w:line="600" w:lineRule="exact"/>
        <w:ind w:firstLine="480" w:firstLineChars="200"/>
        <w:rPr>
          <w:rFonts w:hint="eastAsia"/>
          <w:sz w:val="24"/>
        </w:rPr>
      </w:pPr>
      <w:r>
        <w:rPr>
          <w:rFonts w:hint="eastAsia"/>
          <w:sz w:val="24"/>
        </w:rPr>
        <w:t>知识产权公共服务是知识产权工作面向创新主体和社会公众的基础性、普惠性环节。为贯彻落实《知识产权强国建设纲要（2021—2035年）》《知识产权公共服务“十四五”规划》《知识产权公共服务普惠工程实施方案（2023—2025年）》以及国家知识产权局《关于加强知识产权公共服务机构管理 高质量开展知识产权公共服务的意见》（国知发服字〔2026〕20号）、《关于推进知识产权公共服务标准化规范化便利化的意见》（国知办发服字〔2024〕31号）等部署要求，湛江市持续推进知识产权公共服务体系建设。</w:t>
      </w:r>
    </w:p>
    <w:p w14:paraId="535F06B8">
      <w:pPr>
        <w:spacing w:line="600" w:lineRule="exact"/>
        <w:ind w:firstLine="480" w:firstLineChars="200"/>
        <w:rPr>
          <w:rFonts w:hint="eastAsia"/>
          <w:sz w:val="24"/>
        </w:rPr>
      </w:pPr>
      <w:r>
        <w:rPr>
          <w:rFonts w:hint="eastAsia"/>
          <w:sz w:val="24"/>
        </w:rPr>
        <w:t>2025年，湛江市已先后发布实施《商标品牌指导站建设与服务规范》（T/ZJBX 27—2025）、《知识产权公共服务节点服务规范》（T/ZJBX 24—2025）、《知识产权维权援助工作站服务规范》（T/ZJBX 23—2025）三项团体标准，分别规范了各类基层站点的建设与服务。随着工作推进，原有站点分设、牌子分散、职能交叉、市县协同流程不统一等问题逐步显现，服务资源有待进一步整合。</w:t>
      </w:r>
    </w:p>
    <w:p w14:paraId="7C22ED34">
      <w:pPr>
        <w:spacing w:line="600" w:lineRule="exact"/>
        <w:ind w:firstLine="480" w:firstLineChars="200"/>
        <w:rPr>
          <w:sz w:val="24"/>
        </w:rPr>
      </w:pPr>
      <w:r>
        <w:rPr>
          <w:rFonts w:hint="eastAsia"/>
          <w:sz w:val="24"/>
        </w:rPr>
        <w:t>本标准依托湛江市知识产权保护中心加挂“湛江市知识产权公共服务中心”牌子，以“一块牌子”统筹全市市、县（市、区）、基层三级知识产权公共服务网络，厘清各级机构职能、工作流程和服务规范，实现统一标识、统一清单、统一流程、统一标准，推动湛江市知识产权公共服务标准化、规范化、便利化，优化营商环境，服务湛江向海而兴、向海图强特色型知识产权强市建设。</w:t>
      </w:r>
    </w:p>
    <w:p w14:paraId="49193A6A">
      <w:pPr>
        <w:pStyle w:val="67"/>
        <w:spacing w:line="508" w:lineRule="exact"/>
        <w:ind w:firstLine="560" w:firstLineChars="200"/>
        <w:rPr>
          <w:rFonts w:ascii="黑体" w:hAnsi="黑体" w:eastAsia="黑体"/>
          <w:b w:val="0"/>
          <w:bCs/>
          <w:sz w:val="28"/>
          <w:szCs w:val="21"/>
        </w:rPr>
      </w:pPr>
      <w:bookmarkStart w:id="3" w:name="_Toc25630"/>
      <w:r>
        <w:rPr>
          <w:rFonts w:hint="eastAsia" w:ascii="楷体_GB2312" w:hAnsi="楷体_GB2312" w:eastAsia="楷体_GB2312" w:cs="楷体_GB2312"/>
          <w:b w:val="0"/>
          <w:bCs/>
          <w:color w:val="000000"/>
          <w:sz w:val="28"/>
          <w:szCs w:val="28"/>
        </w:rPr>
        <w:t>（三）起草过程</w:t>
      </w:r>
      <w:bookmarkEnd w:id="3"/>
    </w:p>
    <w:p w14:paraId="75711E9D">
      <w:pPr>
        <w:spacing w:line="600" w:lineRule="exact"/>
        <w:ind w:firstLine="480" w:firstLineChars="200"/>
        <w:rPr>
          <w:rFonts w:hint="eastAsia"/>
          <w:sz w:val="24"/>
        </w:rPr>
      </w:pPr>
      <w:r>
        <w:rPr>
          <w:rFonts w:hint="eastAsia"/>
          <w:sz w:val="24"/>
        </w:rPr>
        <w:t>（1）预研与立项阶段。项目启动后，起草工作组系统梳理国家、省、市知识产权公共服务政策文件和已发布的三项团体标准，开展标准查新和现状调研，明确标准研制思路，完成团体标准立项。</w:t>
      </w:r>
    </w:p>
    <w:p w14:paraId="321907E0">
      <w:pPr>
        <w:spacing w:line="600" w:lineRule="exact"/>
        <w:ind w:firstLine="480" w:firstLineChars="200"/>
        <w:rPr>
          <w:rFonts w:hint="eastAsia"/>
          <w:sz w:val="24"/>
        </w:rPr>
      </w:pPr>
      <w:r>
        <w:rPr>
          <w:rFonts w:hint="eastAsia"/>
          <w:sz w:val="24"/>
        </w:rPr>
        <w:t>（2）资料收集与调研阶段。工作组收集整理知识产权公共服务相关法律法规、政策文件和上位标准，调研湛江市知识产权保护中心及各县（市、区）基层站点运行实际，梳理服务需求、办理流程和现存问题，形成标准起草的基础素材。</w:t>
      </w:r>
    </w:p>
    <w:p w14:paraId="3EF8DE74">
      <w:pPr>
        <w:spacing w:line="600" w:lineRule="exact"/>
        <w:ind w:firstLine="480" w:firstLineChars="200"/>
        <w:rPr>
          <w:rFonts w:hint="eastAsia"/>
          <w:sz w:val="24"/>
        </w:rPr>
      </w:pPr>
      <w:r>
        <w:rPr>
          <w:rFonts w:hint="eastAsia"/>
          <w:sz w:val="24"/>
        </w:rPr>
        <w:t>（3）标准起草与研讨阶段。工作组依据GB/T 1.1—2020《标准化工作导则 第1部分：标准化文件的结构和起草规则》，搭建标准框架，逐条梳理机构职责、人员岗位、服务内容、服务要求、服务流程和质量评价等内容，经内部研讨修改形成标准工作组讨论稿。</w:t>
      </w:r>
    </w:p>
    <w:p w14:paraId="6C8CDF12">
      <w:pPr>
        <w:spacing w:line="600" w:lineRule="exact"/>
        <w:ind w:firstLine="480" w:firstLineChars="200"/>
        <w:rPr>
          <w:rFonts w:hint="eastAsia"/>
          <w:sz w:val="24"/>
        </w:rPr>
      </w:pPr>
      <w:r>
        <w:rPr>
          <w:rFonts w:hint="eastAsia"/>
          <w:sz w:val="24"/>
        </w:rPr>
        <w:t>（4）征求意见稿阶段。在工作组讨论稿基础上，结合主管部门意见和调研结果修改完善，形成本征求意见稿，拟于2026年8月24日至9月24日面向社会公开征求意见。</w:t>
      </w:r>
    </w:p>
    <w:p w14:paraId="77898B61">
      <w:pPr>
        <w:spacing w:line="600" w:lineRule="exact"/>
        <w:ind w:firstLine="480" w:firstLineChars="200"/>
        <w:rPr>
          <w:sz w:val="24"/>
        </w:rPr>
      </w:pPr>
      <w:r>
        <w:rPr>
          <w:rFonts w:hint="eastAsia"/>
          <w:sz w:val="24"/>
        </w:rPr>
        <w:t>（5）意见处理、技术审查与报批发布阶段（尚未开展）。征求意见结束后，工作组将汇总处理反馈意见，形成送审稿，拟于2026年10月</w:t>
      </w:r>
      <w:r>
        <w:rPr>
          <w:rFonts w:hint="eastAsia"/>
          <w:sz w:val="24"/>
          <w:lang w:val="en-US" w:eastAsia="zh-CN"/>
        </w:rPr>
        <w:t>30</w:t>
      </w:r>
      <w:r>
        <w:rPr>
          <w:rFonts w:hint="eastAsia"/>
          <w:sz w:val="24"/>
        </w:rPr>
        <w:t>日组织召开技术审查会，根据审查意见修改形成报批稿，报湛江市标准化协会批准发布。</w:t>
      </w:r>
    </w:p>
    <w:p w14:paraId="40C6F3C1">
      <w:pPr>
        <w:spacing w:line="600" w:lineRule="exact"/>
        <w:ind w:firstLine="480" w:firstLineChars="200"/>
        <w:rPr>
          <w:sz w:val="24"/>
        </w:rPr>
      </w:pPr>
      <w:r>
        <w:rPr>
          <w:rFonts w:hint="eastAsia"/>
          <w:sz w:val="24"/>
        </w:rPr>
        <w:t>（5）意见处理阶段（尚未开展）</w:t>
      </w:r>
    </w:p>
    <w:p w14:paraId="0D15E413">
      <w:pPr>
        <w:spacing w:line="600" w:lineRule="exact"/>
        <w:ind w:firstLine="480" w:firstLineChars="200"/>
        <w:rPr>
          <w:sz w:val="24"/>
        </w:rPr>
      </w:pPr>
      <w:r>
        <w:rPr>
          <w:rFonts w:hint="eastAsia"/>
          <w:sz w:val="24"/>
        </w:rPr>
        <w:t>（6）技术审查阶段（尚未开展）</w:t>
      </w:r>
    </w:p>
    <w:p w14:paraId="4386637C">
      <w:pPr>
        <w:spacing w:line="600" w:lineRule="exact"/>
        <w:ind w:firstLine="480" w:firstLineChars="200"/>
        <w:rPr>
          <w:sz w:val="24"/>
        </w:rPr>
      </w:pPr>
      <w:r>
        <w:rPr>
          <w:rFonts w:hint="eastAsia"/>
          <w:sz w:val="24"/>
        </w:rPr>
        <w:t>（7）报批发布阶段（尚未开展）</w:t>
      </w:r>
    </w:p>
    <w:p w14:paraId="6EF64791">
      <w:pPr>
        <w:pStyle w:val="66"/>
        <w:spacing w:line="508" w:lineRule="exact"/>
        <w:ind w:firstLine="560" w:firstLineChars="200"/>
        <w:rPr>
          <w:rFonts w:ascii="黑体" w:hAnsi="黑体" w:cs="黑体"/>
          <w:b w:val="0"/>
          <w:bCs/>
          <w:color w:val="000000"/>
          <w:sz w:val="28"/>
          <w:szCs w:val="28"/>
        </w:rPr>
      </w:pPr>
      <w:bookmarkStart w:id="4" w:name="_Toc11044"/>
      <w:r>
        <w:rPr>
          <w:rFonts w:ascii="黑体" w:hAnsi="黑体" w:cs="黑体"/>
          <w:b w:val="0"/>
          <w:bCs/>
          <w:color w:val="000000"/>
          <w:sz w:val="28"/>
          <w:szCs w:val="28"/>
        </w:rPr>
        <w:t>二、标准编制原则和确定标准主要内容的论据</w:t>
      </w:r>
      <w:bookmarkEnd w:id="4"/>
    </w:p>
    <w:p w14:paraId="6C71E747">
      <w:pPr>
        <w:pStyle w:val="67"/>
        <w:spacing w:line="508" w:lineRule="exact"/>
        <w:ind w:firstLine="560" w:firstLineChars="200"/>
        <w:rPr>
          <w:rFonts w:ascii="楷体_GB2312" w:hAnsi="楷体_GB2312" w:eastAsia="楷体_GB2312" w:cs="楷体_GB2312"/>
          <w:b w:val="0"/>
          <w:bCs/>
          <w:color w:val="000000"/>
          <w:sz w:val="28"/>
          <w:szCs w:val="28"/>
        </w:rPr>
      </w:pPr>
      <w:bookmarkStart w:id="5" w:name="_Toc13824"/>
      <w:r>
        <w:rPr>
          <w:rFonts w:hint="eastAsia" w:ascii="楷体_GB2312" w:hAnsi="楷体_GB2312" w:eastAsia="楷体_GB2312" w:cs="楷体_GB2312"/>
          <w:b w:val="0"/>
          <w:bCs/>
          <w:color w:val="000000"/>
          <w:sz w:val="28"/>
          <w:szCs w:val="28"/>
        </w:rPr>
        <w:t>（一）</w:t>
      </w:r>
      <w:r>
        <w:rPr>
          <w:rFonts w:ascii="楷体_GB2312" w:hAnsi="楷体_GB2312" w:eastAsia="楷体_GB2312" w:cs="楷体_GB2312"/>
          <w:b w:val="0"/>
          <w:bCs/>
          <w:color w:val="000000"/>
          <w:sz w:val="28"/>
          <w:szCs w:val="28"/>
        </w:rPr>
        <w:t>标准编制原则</w:t>
      </w:r>
      <w:bookmarkEnd w:id="5"/>
    </w:p>
    <w:p w14:paraId="020AE45B">
      <w:pPr>
        <w:spacing w:line="600" w:lineRule="exact"/>
        <w:ind w:firstLine="480" w:firstLineChars="200"/>
        <w:rPr>
          <w:rFonts w:hint="eastAsia"/>
          <w:sz w:val="24"/>
        </w:rPr>
      </w:pPr>
      <w:r>
        <w:rPr>
          <w:rFonts w:hint="eastAsia"/>
          <w:sz w:val="24"/>
        </w:rPr>
        <w:t>（1）合法性原则。遵循《中华人民共和国标准化法》《中华人民共和国专利法》《中华人民共和国商标法》等法律法规，与国家知识产权公共服务政策导向保持一致。</w:t>
      </w:r>
    </w:p>
    <w:p w14:paraId="5CD8A3EE">
      <w:pPr>
        <w:spacing w:line="600" w:lineRule="exact"/>
        <w:ind w:firstLine="480" w:firstLineChars="200"/>
        <w:rPr>
          <w:rFonts w:hint="eastAsia"/>
          <w:sz w:val="24"/>
        </w:rPr>
      </w:pPr>
      <w:r>
        <w:rPr>
          <w:rFonts w:hint="eastAsia"/>
          <w:sz w:val="24"/>
        </w:rPr>
        <w:t>（2）规范性原则。严格按照GB/T 1.1—2020规定的结构和起草规则编制，做到结构严谨、表述规范、要素齐全。</w:t>
      </w:r>
    </w:p>
    <w:p w14:paraId="12A43158">
      <w:pPr>
        <w:spacing w:line="600" w:lineRule="exact"/>
        <w:ind w:firstLine="480" w:firstLineChars="200"/>
        <w:rPr>
          <w:rFonts w:hint="eastAsia"/>
          <w:sz w:val="24"/>
        </w:rPr>
      </w:pPr>
      <w:r>
        <w:rPr>
          <w:rFonts w:hint="eastAsia"/>
          <w:sz w:val="24"/>
        </w:rPr>
        <w:t>（3）协调性原则。与湛江市已发布的T/ZJBX 23—2025、T/ZJBX 24—2025、T/ZJBX 27—2025三项团体标准协调衔接，本标准为总纲性规范，三项标准作为网点内部业务规范继续执行，互不冲突。</w:t>
      </w:r>
    </w:p>
    <w:p w14:paraId="5A22F944">
      <w:pPr>
        <w:spacing w:line="600" w:lineRule="exact"/>
        <w:ind w:firstLine="480" w:firstLineChars="200"/>
        <w:rPr>
          <w:rFonts w:hint="eastAsia"/>
          <w:sz w:val="24"/>
        </w:rPr>
      </w:pPr>
      <w:r>
        <w:rPr>
          <w:rFonts w:hint="eastAsia"/>
          <w:sz w:val="24"/>
        </w:rPr>
        <w:t>（4）可操作性原则。立足湛江市现有机构、人员和场地条件，明确可落地的岗位职责、服务时限和办理流程，便于机构执行和主管部门考核。</w:t>
      </w:r>
    </w:p>
    <w:p w14:paraId="307C8F0F">
      <w:pPr>
        <w:spacing w:line="600" w:lineRule="exact"/>
        <w:ind w:firstLine="480" w:firstLineChars="200"/>
        <w:rPr>
          <w:sz w:val="24"/>
        </w:rPr>
      </w:pPr>
      <w:r>
        <w:rPr>
          <w:rFonts w:hint="eastAsia"/>
          <w:sz w:val="24"/>
        </w:rPr>
        <w:t>（5）地方特色原则。结合湛江市“四绿一蓝”重点产业和海洋经济、特色农业实际，设置本地化特色服务内容。</w:t>
      </w:r>
    </w:p>
    <w:p w14:paraId="1CE52950">
      <w:pPr>
        <w:pStyle w:val="67"/>
        <w:spacing w:line="508" w:lineRule="exact"/>
        <w:ind w:firstLine="560" w:firstLineChars="200"/>
        <w:rPr>
          <w:rFonts w:ascii="楷体_GB2312" w:hAnsi="楷体_GB2312" w:eastAsia="楷体_GB2312" w:cs="楷体_GB2312"/>
          <w:b w:val="0"/>
          <w:bCs/>
          <w:color w:val="000000"/>
          <w:sz w:val="28"/>
          <w:szCs w:val="28"/>
        </w:rPr>
      </w:pPr>
      <w:bookmarkStart w:id="6" w:name="_Toc25688"/>
      <w:r>
        <w:rPr>
          <w:rFonts w:hint="eastAsia" w:ascii="楷体_GB2312" w:hAnsi="楷体_GB2312" w:eastAsia="楷体_GB2312" w:cs="楷体_GB2312"/>
          <w:b w:val="0"/>
          <w:bCs/>
          <w:color w:val="000000"/>
          <w:sz w:val="28"/>
          <w:szCs w:val="28"/>
        </w:rPr>
        <w:t>（二）</w:t>
      </w:r>
      <w:bookmarkStart w:id="7" w:name="_Toc26648466"/>
      <w:bookmarkStart w:id="8" w:name="_Toc24884212"/>
      <w:bookmarkStart w:id="9" w:name="_Toc17233326"/>
      <w:bookmarkStart w:id="10" w:name="_Toc24884219"/>
      <w:bookmarkStart w:id="11" w:name="_Toc17233334"/>
      <w:r>
        <w:rPr>
          <w:rFonts w:hint="eastAsia" w:ascii="楷体_GB2312" w:hAnsi="楷体_GB2312" w:eastAsia="楷体_GB2312" w:cs="楷体_GB2312"/>
          <w:b w:val="0"/>
          <w:bCs/>
          <w:color w:val="000000"/>
          <w:sz w:val="28"/>
          <w:szCs w:val="28"/>
        </w:rPr>
        <w:t>标准适用范围</w:t>
      </w:r>
      <w:bookmarkEnd w:id="6"/>
    </w:p>
    <w:p w14:paraId="32252065">
      <w:pPr>
        <w:spacing w:line="600" w:lineRule="exact"/>
        <w:ind w:firstLine="480" w:firstLineChars="200"/>
        <w:rPr>
          <w:sz w:val="24"/>
        </w:rPr>
      </w:pPr>
      <w:bookmarkStart w:id="12" w:name="_Toc26986531"/>
      <w:bookmarkStart w:id="13" w:name="_Toc26718931"/>
      <w:bookmarkStart w:id="14" w:name="_Toc26986772"/>
      <w:bookmarkStart w:id="15" w:name="_Toc142898829"/>
      <w:bookmarkStart w:id="16" w:name="_Toc142041182"/>
      <w:bookmarkStart w:id="17" w:name="_Toc142041161"/>
      <w:r>
        <w:rPr>
          <w:rFonts w:hint="eastAsia"/>
          <w:sz w:val="24"/>
        </w:rPr>
        <w:t>本文件规定了湛江市知识产权公共服务中心及其三级服务网络的术语和定义、基本原则、服务体系、人员与岗位、服务内容、服务要求、服务流程、服务质量评价与改进等内容，适用于市、县（市、区）、基层三级知识产权公共服务网络的建设、运行与管理，其他知识产权公共服务机构可参照执行。</w:t>
      </w:r>
    </w:p>
    <w:p w14:paraId="2126C49D">
      <w:pPr>
        <w:pStyle w:val="67"/>
        <w:spacing w:line="508" w:lineRule="exact"/>
        <w:ind w:firstLine="560" w:firstLineChars="200"/>
        <w:rPr>
          <w:rFonts w:ascii="楷体_GB2312" w:hAnsi="楷体_GB2312" w:eastAsia="楷体_GB2312" w:cs="楷体_GB2312"/>
          <w:b w:val="0"/>
          <w:bCs/>
          <w:color w:val="000000"/>
          <w:sz w:val="28"/>
          <w:szCs w:val="28"/>
        </w:rPr>
      </w:pPr>
      <w:bookmarkStart w:id="18" w:name="_Toc24698"/>
      <w:r>
        <w:rPr>
          <w:rFonts w:hint="eastAsia" w:ascii="楷体_GB2312" w:hAnsi="楷体_GB2312" w:eastAsia="楷体_GB2312" w:cs="楷体_GB2312"/>
          <w:b w:val="0"/>
          <w:bCs/>
          <w:color w:val="000000"/>
          <w:sz w:val="28"/>
          <w:szCs w:val="28"/>
        </w:rPr>
        <w:t>（三）</w:t>
      </w:r>
      <w:bookmarkEnd w:id="7"/>
      <w:bookmarkEnd w:id="8"/>
      <w:bookmarkEnd w:id="9"/>
      <w:bookmarkEnd w:id="10"/>
      <w:bookmarkEnd w:id="11"/>
      <w:bookmarkEnd w:id="12"/>
      <w:bookmarkEnd w:id="13"/>
      <w:bookmarkEnd w:id="14"/>
      <w:bookmarkEnd w:id="15"/>
      <w:bookmarkEnd w:id="16"/>
      <w:bookmarkEnd w:id="17"/>
      <w:bookmarkStart w:id="19" w:name="_Toc142041162"/>
      <w:bookmarkStart w:id="20" w:name="_Toc142898830"/>
      <w:bookmarkStart w:id="21" w:name="_Toc142041183"/>
      <w:r>
        <w:rPr>
          <w:rFonts w:hint="eastAsia" w:ascii="楷体_GB2312" w:hAnsi="楷体_GB2312" w:eastAsia="楷体_GB2312" w:cs="楷体_GB2312"/>
          <w:b w:val="0"/>
          <w:bCs/>
          <w:color w:val="000000"/>
          <w:sz w:val="28"/>
          <w:szCs w:val="28"/>
        </w:rPr>
        <w:t>术语和定义</w:t>
      </w:r>
      <w:bookmarkEnd w:id="18"/>
      <w:bookmarkEnd w:id="19"/>
      <w:bookmarkEnd w:id="20"/>
      <w:bookmarkEnd w:id="21"/>
    </w:p>
    <w:p w14:paraId="0BC80855">
      <w:pPr>
        <w:spacing w:line="600" w:lineRule="exact"/>
        <w:ind w:firstLine="480" w:firstLineChars="200"/>
        <w:rPr>
          <w:sz w:val="24"/>
        </w:rPr>
      </w:pPr>
      <w:bookmarkStart w:id="22" w:name="_Toc26986532"/>
      <w:bookmarkEnd w:id="22"/>
      <w:r>
        <w:rPr>
          <w:rFonts w:hint="eastAsia"/>
          <w:sz w:val="24"/>
        </w:rPr>
        <w:t>引用GB/T 21374《知识产权文献与信息 基本词汇》，并结合湛江实际界定“知识产权公共服务中心”“知识产权公共服务网点”“业务对接点”“逐级移交”“服务对象”等术语，明确“一块牌子”统筹的内涵。</w:t>
      </w:r>
    </w:p>
    <w:p w14:paraId="149B0705">
      <w:pPr>
        <w:pStyle w:val="67"/>
        <w:spacing w:line="508" w:lineRule="exact"/>
        <w:ind w:firstLine="560" w:firstLineChars="200"/>
        <w:rPr>
          <w:rFonts w:hint="eastAsia" w:ascii="楷体_GB2312" w:hAnsi="楷体_GB2312" w:eastAsia="楷体_GB2312" w:cs="楷体_GB2312"/>
          <w:b w:val="0"/>
          <w:bCs/>
          <w:color w:val="000000"/>
          <w:sz w:val="28"/>
          <w:szCs w:val="28"/>
        </w:rPr>
      </w:pPr>
      <w:bookmarkStart w:id="23" w:name="_Toc15042"/>
      <w:r>
        <w:rPr>
          <w:rFonts w:hint="eastAsia" w:ascii="楷体_GB2312" w:hAnsi="楷体_GB2312" w:eastAsia="楷体_GB2312" w:cs="楷体_GB2312"/>
          <w:b w:val="0"/>
          <w:bCs/>
          <w:color w:val="000000"/>
          <w:sz w:val="28"/>
          <w:szCs w:val="28"/>
        </w:rPr>
        <w:t>（四）主要章节内容说明</w:t>
      </w:r>
      <w:bookmarkEnd w:id="23"/>
    </w:p>
    <w:p w14:paraId="478097F2">
      <w:pPr>
        <w:spacing w:line="600" w:lineRule="exact"/>
        <w:ind w:firstLine="480" w:firstLineChars="200"/>
        <w:rPr>
          <w:rFonts w:hint="eastAsia"/>
          <w:sz w:val="24"/>
        </w:rPr>
      </w:pPr>
      <w:r>
        <w:rPr>
          <w:rFonts w:hint="eastAsia"/>
          <w:sz w:val="24"/>
        </w:rPr>
        <w:t>（1）第4章基本原则。确立统一对外、便民利民、精准普惠、协同联动、依法依规、安全保密六项原则，作为体系运行总遵循。</w:t>
      </w:r>
    </w:p>
    <w:p w14:paraId="22CE2F6B">
      <w:pPr>
        <w:spacing w:line="600" w:lineRule="exact"/>
        <w:ind w:firstLine="480" w:firstLineChars="200"/>
        <w:rPr>
          <w:rFonts w:hint="eastAsia"/>
          <w:sz w:val="24"/>
        </w:rPr>
      </w:pPr>
      <w:r>
        <w:rPr>
          <w:rFonts w:hint="eastAsia"/>
          <w:sz w:val="24"/>
        </w:rPr>
        <w:t>（2）第5章服务体系。明确“一中心、多网点、全覆盖”三级架构，分别规定中心、网点、基层工作站点职责；规定统一牌子、统一标识、统一清单、统一渠道、统一标准的对外服务要求，以及分级办理、逐级移交、资源调度、信息共享、业务协同五项联动机制，是本标准实现资源整合的核心内容。</w:t>
      </w:r>
    </w:p>
    <w:p w14:paraId="64808C37">
      <w:pPr>
        <w:spacing w:line="600" w:lineRule="exact"/>
        <w:ind w:firstLine="480" w:firstLineChars="200"/>
        <w:rPr>
          <w:rFonts w:hint="eastAsia"/>
          <w:sz w:val="24"/>
        </w:rPr>
      </w:pPr>
      <w:r>
        <w:rPr>
          <w:rFonts w:hint="eastAsia"/>
          <w:sz w:val="24"/>
        </w:rPr>
        <w:t>（3）第6章人员与岗位。分别规定中心、网点、基层站点的人员配置数量、岗位设置、任职要求和培训考核。</w:t>
      </w:r>
    </w:p>
    <w:p w14:paraId="726D409F">
      <w:pPr>
        <w:spacing w:line="600" w:lineRule="exact"/>
        <w:ind w:firstLine="480" w:firstLineChars="200"/>
        <w:rPr>
          <w:rFonts w:hint="eastAsia"/>
          <w:sz w:val="24"/>
        </w:rPr>
      </w:pPr>
      <w:r>
        <w:rPr>
          <w:rFonts w:hint="eastAsia"/>
          <w:sz w:val="24"/>
        </w:rPr>
        <w:t>（4）第7章服务内容。划分16项基础公共服务和5项特色服务，并规定服务事项清单的编制、动态更新和执行要求。</w:t>
      </w:r>
    </w:p>
    <w:p w14:paraId="4809B468">
      <w:pPr>
        <w:spacing w:line="600" w:lineRule="exact"/>
        <w:ind w:firstLine="480" w:firstLineChars="200"/>
        <w:rPr>
          <w:rFonts w:hint="eastAsia"/>
          <w:sz w:val="24"/>
        </w:rPr>
      </w:pPr>
      <w:r>
        <w:rPr>
          <w:rFonts w:hint="eastAsia"/>
          <w:sz w:val="24"/>
        </w:rPr>
        <w:t>（5）第8章服务要求。明确线上线下服务方式，规定咨询响应、受理决定、办结、逐级移交、结果反馈等时限要求，落实首问负责、一次性告知、限时办结、容缺受理、AB岗、服务礼仪等制度，并规范档案与数据管理。</w:t>
      </w:r>
    </w:p>
    <w:p w14:paraId="395F9490">
      <w:pPr>
        <w:spacing w:line="600" w:lineRule="exact"/>
        <w:ind w:firstLine="480" w:firstLineChars="200"/>
        <w:rPr>
          <w:rFonts w:hint="eastAsia"/>
          <w:sz w:val="24"/>
        </w:rPr>
      </w:pPr>
      <w:r>
        <w:rPr>
          <w:rFonts w:hint="eastAsia"/>
          <w:sz w:val="24"/>
        </w:rPr>
        <w:t>（6）第9章服务流程。规定“需求接收—分级处置—（逐级移交）—结果反馈—归档统计”闭环流程，逐级移交全程留痕、可追溯。</w:t>
      </w:r>
    </w:p>
    <w:p w14:paraId="34B4658E">
      <w:pPr>
        <w:spacing w:line="600" w:lineRule="exact"/>
        <w:ind w:firstLine="480" w:firstLineChars="200"/>
        <w:rPr>
          <w:rFonts w:hint="eastAsia"/>
          <w:sz w:val="24"/>
        </w:rPr>
      </w:pPr>
      <w:r>
        <w:rPr>
          <w:rFonts w:hint="eastAsia"/>
          <w:sz w:val="24"/>
        </w:rPr>
        <w:t>（7）第10章服务质量评价与改进。建立服务评价、满意度调查、投诉处理、监督考核和持续改进机制。</w:t>
      </w:r>
    </w:p>
    <w:p w14:paraId="5A7D9FEA">
      <w:pPr>
        <w:spacing w:line="600" w:lineRule="exact"/>
        <w:ind w:firstLine="480" w:firstLineChars="200"/>
        <w:rPr>
          <w:sz w:val="24"/>
        </w:rPr>
      </w:pPr>
      <w:r>
        <w:rPr>
          <w:rFonts w:hint="eastAsia"/>
          <w:sz w:val="24"/>
        </w:rPr>
        <w:t>（8）附录A、附录B、附录C为资料性附录，分别给出服务事项清单示范、服务时限一览表和服务流程，供实际工作参考使用。</w:t>
      </w:r>
    </w:p>
    <w:p w14:paraId="4A49DC4D">
      <w:pPr>
        <w:spacing w:line="600" w:lineRule="exact"/>
        <w:ind w:firstLine="480" w:firstLineChars="200"/>
        <w:rPr>
          <w:sz w:val="24"/>
        </w:rPr>
      </w:pPr>
    </w:p>
    <w:p w14:paraId="11D922DD">
      <w:pPr>
        <w:pStyle w:val="66"/>
        <w:spacing w:line="508" w:lineRule="exact"/>
        <w:ind w:firstLine="560" w:firstLineChars="200"/>
        <w:rPr>
          <w:rFonts w:ascii="黑体" w:hAnsi="黑体" w:cs="黑体"/>
          <w:b w:val="0"/>
          <w:bCs/>
          <w:color w:val="000000"/>
          <w:sz w:val="28"/>
          <w:szCs w:val="28"/>
        </w:rPr>
      </w:pPr>
      <w:bookmarkStart w:id="24" w:name="_Toc21329"/>
      <w:r>
        <w:rPr>
          <w:rFonts w:hint="eastAsia" w:ascii="黑体" w:hAnsi="黑体" w:cs="黑体"/>
          <w:b w:val="0"/>
          <w:bCs/>
          <w:color w:val="000000"/>
          <w:sz w:val="28"/>
          <w:szCs w:val="28"/>
        </w:rPr>
        <w:t>三、技术经济论证和预期的经济效益、社会效益</w:t>
      </w:r>
      <w:bookmarkEnd w:id="24"/>
    </w:p>
    <w:p w14:paraId="39817DED">
      <w:pPr>
        <w:pStyle w:val="67"/>
        <w:spacing w:line="508" w:lineRule="exact"/>
        <w:ind w:firstLine="560" w:firstLineChars="200"/>
        <w:rPr>
          <w:rFonts w:ascii="楷体_GB2312" w:hAnsi="楷体_GB2312" w:eastAsia="楷体_GB2312" w:cs="楷体_GB2312"/>
          <w:b w:val="0"/>
          <w:bCs/>
          <w:color w:val="000000"/>
          <w:sz w:val="28"/>
          <w:szCs w:val="28"/>
        </w:rPr>
      </w:pPr>
      <w:bookmarkStart w:id="25" w:name="_Toc6434"/>
      <w:r>
        <w:rPr>
          <w:rFonts w:hint="eastAsia" w:ascii="楷体_GB2312" w:hAnsi="楷体_GB2312" w:eastAsia="楷体_GB2312" w:cs="楷体_GB2312"/>
          <w:b w:val="0"/>
          <w:bCs/>
          <w:color w:val="000000"/>
          <w:sz w:val="28"/>
          <w:szCs w:val="28"/>
        </w:rPr>
        <w:t>（一）技术论证</w:t>
      </w:r>
      <w:bookmarkEnd w:id="25"/>
    </w:p>
    <w:p w14:paraId="6C47689D">
      <w:pPr>
        <w:spacing w:line="600" w:lineRule="exact"/>
        <w:ind w:firstLine="480" w:firstLineChars="200"/>
        <w:rPr>
          <w:sz w:val="24"/>
        </w:rPr>
      </w:pPr>
      <w:r>
        <w:rPr>
          <w:rFonts w:hint="eastAsia"/>
          <w:sz w:val="24"/>
        </w:rPr>
        <w:t>本标准立足湛江市知识产权公共服务实际，整合已发布三项团体标准的实践成果，参考国家知识产权局地市级综合性知识产权公共服务机构建设要求和成熟服务模式，术语与GB/T 21374衔接，流程设计采用分级办理、逐级移交的闭环管理，指标设定贴合现有机构条件，技术上具备先进性和可操作性。</w:t>
      </w:r>
    </w:p>
    <w:p w14:paraId="35FEE77A">
      <w:pPr>
        <w:pStyle w:val="67"/>
        <w:spacing w:line="508" w:lineRule="exact"/>
        <w:ind w:firstLine="560" w:firstLineChars="200"/>
        <w:rPr>
          <w:rFonts w:ascii="楷体_GB2312" w:hAnsi="楷体_GB2312" w:eastAsia="楷体_GB2312" w:cs="楷体_GB2312"/>
          <w:b w:val="0"/>
          <w:bCs/>
          <w:color w:val="000000"/>
          <w:sz w:val="28"/>
          <w:szCs w:val="28"/>
        </w:rPr>
      </w:pPr>
      <w:bookmarkStart w:id="26" w:name="_Toc18467"/>
      <w:r>
        <w:rPr>
          <w:rFonts w:hint="eastAsia" w:ascii="楷体_GB2312" w:hAnsi="楷体_GB2312" w:eastAsia="楷体_GB2312" w:cs="楷体_GB2312"/>
          <w:b w:val="0"/>
          <w:bCs/>
          <w:color w:val="000000"/>
          <w:sz w:val="28"/>
          <w:szCs w:val="28"/>
        </w:rPr>
        <w:t>（二）</w:t>
      </w:r>
      <w:r>
        <w:rPr>
          <w:rFonts w:ascii="楷体_GB2312" w:hAnsi="楷体_GB2312" w:eastAsia="楷体_GB2312" w:cs="楷体_GB2312"/>
          <w:b w:val="0"/>
          <w:bCs/>
          <w:color w:val="000000"/>
          <w:sz w:val="28"/>
          <w:szCs w:val="28"/>
        </w:rPr>
        <w:t>预期经济效果</w:t>
      </w:r>
      <w:bookmarkEnd w:id="26"/>
    </w:p>
    <w:p w14:paraId="51F87B29">
      <w:pPr>
        <w:spacing w:line="600" w:lineRule="exact"/>
        <w:ind w:firstLine="480" w:firstLineChars="200"/>
        <w:rPr>
          <w:sz w:val="24"/>
        </w:rPr>
      </w:pPr>
      <w:r>
        <w:rPr>
          <w:rFonts w:hint="eastAsia"/>
          <w:sz w:val="24"/>
        </w:rPr>
        <w:t>本标准属公益性公共服务规范，不以直接营利为目的。标准实施后，通过统一服务体系和标准化流程，可减少创新主体重复咨询、多头跑动的制度性交易成本；通过规范化的维权援助、风险预警和导航分析服务，降低企业维权成本和研发经营风险；通过商标品牌、地理标志培育和转化运用对接，助力本地产业提质增效，间接带动知识产权服务业发展。</w:t>
      </w:r>
    </w:p>
    <w:p w14:paraId="5C71F345">
      <w:pPr>
        <w:pStyle w:val="67"/>
        <w:spacing w:line="508" w:lineRule="exact"/>
        <w:ind w:firstLine="560" w:firstLineChars="200"/>
        <w:rPr>
          <w:rFonts w:ascii="楷体_GB2312" w:hAnsi="楷体_GB2312" w:eastAsia="楷体_GB2312" w:cs="楷体_GB2312"/>
          <w:b w:val="0"/>
          <w:bCs/>
          <w:color w:val="000000"/>
          <w:sz w:val="28"/>
          <w:szCs w:val="28"/>
        </w:rPr>
      </w:pPr>
      <w:bookmarkStart w:id="27" w:name="_Toc27894"/>
      <w:r>
        <w:rPr>
          <w:rFonts w:hint="eastAsia" w:ascii="楷体_GB2312" w:hAnsi="楷体_GB2312" w:eastAsia="楷体_GB2312" w:cs="楷体_GB2312"/>
          <w:b w:val="0"/>
          <w:bCs/>
          <w:color w:val="000000"/>
          <w:sz w:val="28"/>
          <w:szCs w:val="28"/>
        </w:rPr>
        <w:t>（三）社会效益</w:t>
      </w:r>
      <w:bookmarkEnd w:id="27"/>
    </w:p>
    <w:p w14:paraId="0A3276EA">
      <w:pPr>
        <w:spacing w:line="600" w:lineRule="exact"/>
        <w:ind w:firstLine="480" w:firstLineChars="200"/>
        <w:rPr>
          <w:sz w:val="24"/>
        </w:rPr>
      </w:pPr>
      <w:r>
        <w:rPr>
          <w:rFonts w:hint="eastAsia"/>
          <w:sz w:val="24"/>
        </w:rPr>
        <w:t>一是实现全市知识产权公共服务资源整合，落实“一块牌子”统筹，打通公共服务“最后一公里”；二是提升面向中小微企业、高校科研单位的普惠服务供给，增强社会公众知识产权意识；三是完善知识产权保护营商环境，支撑特色型知识产权强市建设；四是为主管部门绩效考核、项目验收提供标准依据，并为省内同类地区整合公共服务资源提供实践参考。</w:t>
      </w:r>
    </w:p>
    <w:p w14:paraId="619BC2CD">
      <w:pPr>
        <w:pStyle w:val="66"/>
        <w:spacing w:line="508" w:lineRule="exact"/>
        <w:ind w:firstLine="560" w:firstLineChars="200"/>
        <w:rPr>
          <w:rFonts w:ascii="黑体" w:hAnsi="黑体" w:cs="黑体"/>
          <w:b w:val="0"/>
          <w:bCs/>
          <w:color w:val="000000"/>
          <w:sz w:val="28"/>
          <w:szCs w:val="28"/>
        </w:rPr>
      </w:pPr>
      <w:bookmarkStart w:id="28" w:name="_Toc3945"/>
      <w:r>
        <w:rPr>
          <w:rFonts w:hint="eastAsia" w:ascii="黑体" w:hAnsi="黑体" w:cs="黑体"/>
          <w:b w:val="0"/>
          <w:bCs/>
          <w:color w:val="000000"/>
          <w:sz w:val="28"/>
          <w:szCs w:val="28"/>
        </w:rPr>
        <w:t>四、与国际、国外同类标准技术内容的对比情况</w:t>
      </w:r>
      <w:bookmarkEnd w:id="28"/>
    </w:p>
    <w:p w14:paraId="4127DF71">
      <w:pPr>
        <w:spacing w:line="600" w:lineRule="exact"/>
        <w:ind w:firstLine="480" w:firstLineChars="200"/>
        <w:rPr>
          <w:sz w:val="24"/>
        </w:rPr>
      </w:pPr>
      <w:r>
        <w:rPr>
          <w:rFonts w:hint="eastAsia"/>
          <w:sz w:val="24"/>
        </w:rPr>
        <w:t>经检索，国际上无与我国地市级综合性知识产权公共服务中心完全对应的统一标准。国外知识产权公共服务多由政府机构或市场化机构分散提供，不存在我国“市级中心统筹县乡基层站点、一块牌子对外”的体系化公益服务模式。本标准立足我国制度和湛江本地实际制定，具有本土化特点。</w:t>
      </w:r>
    </w:p>
    <w:p w14:paraId="02ED707A">
      <w:pPr>
        <w:pStyle w:val="66"/>
        <w:spacing w:line="508" w:lineRule="exact"/>
        <w:ind w:firstLine="560" w:firstLineChars="200"/>
        <w:rPr>
          <w:rFonts w:ascii="黑体" w:hAnsi="黑体" w:cs="黑体"/>
          <w:b w:val="0"/>
          <w:bCs/>
          <w:color w:val="000000"/>
          <w:sz w:val="28"/>
          <w:szCs w:val="28"/>
        </w:rPr>
      </w:pPr>
      <w:bookmarkStart w:id="29" w:name="_Toc16892"/>
      <w:r>
        <w:rPr>
          <w:rFonts w:hint="eastAsia" w:ascii="黑体" w:hAnsi="黑体" w:cs="黑体"/>
          <w:b w:val="0"/>
          <w:bCs/>
          <w:color w:val="000000"/>
          <w:sz w:val="28"/>
          <w:szCs w:val="28"/>
        </w:rPr>
        <w:t>五、以国际标准为基础的起草情况，以及是否合规引用或者采用国际国外标准，并说明未采用国际标准的原因</w:t>
      </w:r>
      <w:bookmarkEnd w:id="29"/>
    </w:p>
    <w:p w14:paraId="4AA683E5">
      <w:pPr>
        <w:spacing w:line="600" w:lineRule="exact"/>
        <w:ind w:firstLine="480" w:firstLineChars="200"/>
        <w:rPr>
          <w:sz w:val="24"/>
        </w:rPr>
      </w:pPr>
      <w:r>
        <w:rPr>
          <w:rFonts w:hint="eastAsia"/>
          <w:sz w:val="24"/>
        </w:rPr>
        <w:t>本标准未采用国际标准或国外先进标准。知识产权公共服务体系具有较强地域性，各国法律体系和服务组织模式差异较大，国际标准难以直接适用于湛江的制度场景和工作实际，故立足国内政策和本地实践起草。</w:t>
      </w:r>
    </w:p>
    <w:p w14:paraId="066F08CC">
      <w:pPr>
        <w:pStyle w:val="66"/>
        <w:spacing w:line="508" w:lineRule="exact"/>
        <w:ind w:firstLine="560" w:firstLineChars="200"/>
        <w:rPr>
          <w:rFonts w:ascii="黑体" w:hAnsi="黑体" w:cs="黑体"/>
          <w:b w:val="0"/>
          <w:bCs/>
          <w:color w:val="000000"/>
          <w:sz w:val="28"/>
          <w:szCs w:val="28"/>
        </w:rPr>
      </w:pPr>
      <w:bookmarkStart w:id="30" w:name="_Toc13931"/>
      <w:r>
        <w:rPr>
          <w:rFonts w:hint="eastAsia" w:ascii="黑体" w:hAnsi="黑体" w:cs="黑体"/>
          <w:b w:val="0"/>
          <w:bCs/>
          <w:color w:val="000000"/>
          <w:sz w:val="28"/>
          <w:szCs w:val="28"/>
        </w:rPr>
        <w:t>六、与有关法律、行政法规及相关标准的关系</w:t>
      </w:r>
      <w:bookmarkEnd w:id="30"/>
    </w:p>
    <w:p w14:paraId="196F0CE3">
      <w:pPr>
        <w:spacing w:line="600" w:lineRule="exact"/>
        <w:ind w:firstLine="480" w:firstLineChars="200"/>
        <w:rPr>
          <w:sz w:val="24"/>
        </w:rPr>
      </w:pPr>
      <w:r>
        <w:rPr>
          <w:rFonts w:hint="eastAsia"/>
          <w:sz w:val="24"/>
        </w:rPr>
        <w:t>本标准符合《中华人民共和国标准化法》及知识产权相关法律法规，与国家、省知识产权公共服务政策文件协调一致。本标准与GB/T 21374保持衔接；与湛江市已发布的T/ZJBX 23—2025、T/ZJBX 24—2025、T/ZJBX 27—2025为总纲与配套的关系：本标准规定整体体系架构和统筹规则，三项标准分别规范维权援助、公共服务节点、商标品牌指导站的具体业务，二者层次分明、互不冲突。</w:t>
      </w:r>
    </w:p>
    <w:p w14:paraId="344C0425">
      <w:pPr>
        <w:pStyle w:val="66"/>
        <w:spacing w:line="508" w:lineRule="exact"/>
        <w:ind w:firstLine="560" w:firstLineChars="200"/>
        <w:rPr>
          <w:rFonts w:ascii="黑体" w:hAnsi="黑体" w:cs="黑体"/>
          <w:b w:val="0"/>
          <w:bCs/>
          <w:color w:val="000000"/>
          <w:sz w:val="28"/>
          <w:szCs w:val="28"/>
        </w:rPr>
      </w:pPr>
      <w:bookmarkStart w:id="31" w:name="_Toc26328"/>
      <w:r>
        <w:rPr>
          <w:rFonts w:hint="eastAsia" w:ascii="黑体" w:hAnsi="黑体" w:cs="黑体"/>
          <w:b w:val="0"/>
          <w:bCs/>
          <w:color w:val="000000"/>
          <w:sz w:val="28"/>
          <w:szCs w:val="28"/>
        </w:rPr>
        <w:t>七、重大分歧意见的处理经过和依据</w:t>
      </w:r>
      <w:bookmarkEnd w:id="31"/>
    </w:p>
    <w:p w14:paraId="0E4BC087">
      <w:pPr>
        <w:spacing w:line="600" w:lineRule="exact"/>
        <w:ind w:firstLine="480" w:firstLineChars="200"/>
        <w:rPr>
          <w:sz w:val="24"/>
        </w:rPr>
      </w:pPr>
      <w:r>
        <w:rPr>
          <w:rFonts w:hint="eastAsia"/>
          <w:sz w:val="24"/>
        </w:rPr>
        <w:t>起草阶段内部研讨未出现重大意见分歧。本征求意见稿公开征求意见后，如收到重大分歧意见，工作组将组织专家论证、充分协商，按标准化原则妥善处理并在编制说明中记录。</w:t>
      </w:r>
    </w:p>
    <w:p w14:paraId="7C667AEF">
      <w:pPr>
        <w:pStyle w:val="66"/>
        <w:spacing w:line="508" w:lineRule="exact"/>
        <w:ind w:firstLine="560" w:firstLineChars="200"/>
        <w:rPr>
          <w:rFonts w:ascii="黑体" w:hAnsi="黑体" w:cs="黑体"/>
          <w:b w:val="0"/>
          <w:bCs/>
          <w:color w:val="000000"/>
          <w:sz w:val="28"/>
          <w:szCs w:val="28"/>
        </w:rPr>
      </w:pPr>
      <w:bookmarkStart w:id="32" w:name="_Toc21967"/>
      <w:r>
        <w:rPr>
          <w:rFonts w:hint="eastAsia" w:ascii="黑体" w:hAnsi="黑体" w:cs="黑体"/>
          <w:b w:val="0"/>
          <w:bCs/>
          <w:color w:val="000000"/>
          <w:sz w:val="28"/>
          <w:szCs w:val="28"/>
        </w:rPr>
        <w:t>八、涉及专利的有关说明</w:t>
      </w:r>
      <w:bookmarkEnd w:id="32"/>
    </w:p>
    <w:p w14:paraId="106F10B5">
      <w:pPr>
        <w:spacing w:line="600" w:lineRule="exact"/>
        <w:ind w:firstLine="480" w:firstLineChars="200"/>
        <w:rPr>
          <w:sz w:val="24"/>
        </w:rPr>
      </w:pPr>
      <w:r>
        <w:rPr>
          <w:rFonts w:hint="eastAsia"/>
          <w:sz w:val="24"/>
        </w:rPr>
        <w:t>本标准未涉及专利。</w:t>
      </w:r>
    </w:p>
    <w:p w14:paraId="1818C748">
      <w:pPr>
        <w:pStyle w:val="66"/>
        <w:spacing w:line="508" w:lineRule="exact"/>
        <w:ind w:firstLine="560" w:firstLineChars="200"/>
        <w:rPr>
          <w:rFonts w:ascii="黑体" w:hAnsi="黑体" w:cs="黑体"/>
          <w:b w:val="0"/>
          <w:bCs/>
          <w:color w:val="000000"/>
          <w:sz w:val="28"/>
          <w:szCs w:val="28"/>
        </w:rPr>
      </w:pPr>
      <w:bookmarkStart w:id="33" w:name="_Toc19427"/>
      <w:r>
        <w:rPr>
          <w:rFonts w:hint="eastAsia" w:ascii="黑体" w:hAnsi="黑体" w:cs="黑体"/>
          <w:b w:val="0"/>
          <w:bCs/>
          <w:color w:val="000000"/>
          <w:sz w:val="28"/>
          <w:szCs w:val="28"/>
        </w:rPr>
        <w:t>九、标准实施要求和措施建议</w:t>
      </w:r>
      <w:bookmarkEnd w:id="33"/>
    </w:p>
    <w:p w14:paraId="032AAE50">
      <w:pPr>
        <w:pStyle w:val="67"/>
        <w:spacing w:line="508" w:lineRule="exact"/>
        <w:ind w:firstLine="560" w:firstLineChars="200"/>
        <w:rPr>
          <w:rFonts w:ascii="楷体_GB2312" w:hAnsi="楷体_GB2312" w:eastAsia="楷体_GB2312" w:cs="楷体_GB2312"/>
          <w:b w:val="0"/>
          <w:bCs/>
          <w:color w:val="000000"/>
          <w:sz w:val="28"/>
          <w:szCs w:val="28"/>
        </w:rPr>
      </w:pPr>
      <w:bookmarkStart w:id="34" w:name="_Toc5551"/>
      <w:r>
        <w:rPr>
          <w:rFonts w:hint="eastAsia" w:ascii="楷体_GB2312" w:hAnsi="楷体_GB2312" w:eastAsia="楷体_GB2312" w:cs="楷体_GB2312"/>
          <w:b w:val="0"/>
          <w:bCs/>
          <w:color w:val="000000"/>
          <w:sz w:val="28"/>
          <w:szCs w:val="28"/>
        </w:rPr>
        <w:t>（一）实施要求</w:t>
      </w:r>
      <w:bookmarkEnd w:id="34"/>
    </w:p>
    <w:p w14:paraId="653F3583">
      <w:pPr>
        <w:spacing w:line="560" w:lineRule="exact"/>
        <w:ind w:firstLine="480" w:firstLineChars="200"/>
        <w:rPr>
          <w:rFonts w:hint="eastAsia"/>
          <w:sz w:val="24"/>
        </w:rPr>
      </w:pPr>
      <w:r>
        <w:rPr>
          <w:rFonts w:hint="eastAsia"/>
          <w:sz w:val="24"/>
        </w:rPr>
        <w:t>（1）组织保障。由湛江市市场监督管理局指导，湛江市知识产权保护中心、广东省湛江市质量技术监督标准与编码所及各县（市、区）服务网点协同推进标准落地。</w:t>
      </w:r>
    </w:p>
    <w:p w14:paraId="3BCD9002">
      <w:pPr>
        <w:spacing w:line="560" w:lineRule="exact"/>
        <w:ind w:firstLine="480" w:firstLineChars="200"/>
        <w:rPr>
          <w:rFonts w:hint="eastAsia"/>
          <w:sz w:val="24"/>
        </w:rPr>
      </w:pPr>
      <w:r>
        <w:rPr>
          <w:rFonts w:hint="eastAsia"/>
          <w:sz w:val="24"/>
        </w:rPr>
        <w:t>（2）宣贯培训。标准发布后组织面向全市公共服务从业人员的宣贯培训，解读标准条文，统一执行口径。</w:t>
      </w:r>
    </w:p>
    <w:p w14:paraId="720E007A">
      <w:pPr>
        <w:spacing w:line="560" w:lineRule="exact"/>
        <w:ind w:firstLine="480" w:firstLineChars="200"/>
        <w:rPr>
          <w:sz w:val="24"/>
        </w:rPr>
      </w:pPr>
      <w:r>
        <w:rPr>
          <w:rFonts w:hint="eastAsia"/>
          <w:sz w:val="24"/>
        </w:rPr>
        <w:t>（3）分步实施。可选取基础条件较好的县（市、区）网点先行试点，总结经验后在全市推开。</w:t>
      </w:r>
    </w:p>
    <w:p w14:paraId="419ABA11">
      <w:pPr>
        <w:pStyle w:val="67"/>
        <w:spacing w:line="508" w:lineRule="exact"/>
        <w:ind w:firstLine="560" w:firstLineChars="200"/>
        <w:rPr>
          <w:rFonts w:ascii="楷体_GB2312" w:hAnsi="楷体_GB2312" w:eastAsia="楷体_GB2312" w:cs="楷体_GB2312"/>
          <w:b w:val="0"/>
          <w:bCs/>
          <w:color w:val="000000"/>
          <w:sz w:val="28"/>
          <w:szCs w:val="28"/>
        </w:rPr>
      </w:pPr>
      <w:bookmarkStart w:id="35" w:name="_Toc5478"/>
      <w:r>
        <w:rPr>
          <w:rFonts w:hint="eastAsia" w:ascii="楷体_GB2312" w:hAnsi="楷体_GB2312" w:eastAsia="楷体_GB2312" w:cs="楷体_GB2312"/>
          <w:b w:val="0"/>
          <w:bCs/>
          <w:color w:val="000000"/>
          <w:sz w:val="28"/>
          <w:szCs w:val="28"/>
        </w:rPr>
        <w:t>（二）措施建议</w:t>
      </w:r>
      <w:bookmarkEnd w:id="35"/>
    </w:p>
    <w:p w14:paraId="3A4A8265">
      <w:pPr>
        <w:spacing w:line="560" w:lineRule="exact"/>
        <w:ind w:firstLine="480" w:firstLineChars="200"/>
        <w:rPr>
          <w:rFonts w:hint="eastAsia"/>
          <w:sz w:val="24"/>
        </w:rPr>
      </w:pPr>
      <w:r>
        <w:rPr>
          <w:rFonts w:hint="eastAsia"/>
          <w:sz w:val="24"/>
        </w:rPr>
        <w:t>（1）监督评估。将标准落实情况纳入网点年度考核，定期检查服务质量和规范执行情况。</w:t>
      </w:r>
    </w:p>
    <w:p w14:paraId="47A75F3D">
      <w:pPr>
        <w:spacing w:line="560" w:lineRule="exact"/>
        <w:ind w:firstLine="480" w:firstLineChars="200"/>
        <w:rPr>
          <w:rFonts w:hint="eastAsia"/>
          <w:sz w:val="24"/>
        </w:rPr>
      </w:pPr>
      <w:r>
        <w:rPr>
          <w:rFonts w:hint="eastAsia"/>
          <w:sz w:val="24"/>
        </w:rPr>
        <w:t>（2）配套完善。依据本标准动态修订服务事项清单，完善台账、移交等配套工具表单。</w:t>
      </w:r>
    </w:p>
    <w:p w14:paraId="0E90C361">
      <w:pPr>
        <w:spacing w:line="560" w:lineRule="exact"/>
        <w:ind w:firstLine="480" w:firstLineChars="200"/>
        <w:rPr>
          <w:sz w:val="24"/>
        </w:rPr>
      </w:pPr>
      <w:r>
        <w:rPr>
          <w:rFonts w:hint="eastAsia"/>
          <w:sz w:val="24"/>
        </w:rPr>
        <w:t>（3）信息化支撑。依托湛江市知识产权信息公共服务平台，完善需求登记、移交流转、统计上报等功能，支撑标准落地。</w:t>
      </w:r>
    </w:p>
    <w:p w14:paraId="45D678E2">
      <w:pPr>
        <w:pStyle w:val="66"/>
        <w:spacing w:line="508" w:lineRule="exact"/>
        <w:ind w:firstLine="560" w:firstLineChars="200"/>
        <w:rPr>
          <w:rFonts w:ascii="黑体" w:hAnsi="黑体" w:cs="黑体"/>
          <w:b w:val="0"/>
          <w:bCs/>
          <w:color w:val="000000"/>
          <w:sz w:val="28"/>
          <w:szCs w:val="28"/>
        </w:rPr>
      </w:pPr>
      <w:bookmarkStart w:id="36" w:name="_Toc7004"/>
      <w:r>
        <w:rPr>
          <w:rFonts w:hint="eastAsia" w:ascii="黑体" w:hAnsi="黑体" w:cs="黑体"/>
          <w:b w:val="0"/>
          <w:bCs/>
          <w:color w:val="000000"/>
          <w:sz w:val="28"/>
          <w:szCs w:val="28"/>
        </w:rPr>
        <w:t>十、其他应予说明的事项</w:t>
      </w:r>
      <w:bookmarkEnd w:id="36"/>
    </w:p>
    <w:p w14:paraId="5CF6A434">
      <w:pPr>
        <w:spacing w:line="600" w:lineRule="exact"/>
        <w:ind w:firstLine="480" w:firstLineChars="200"/>
        <w:rPr>
          <w:sz w:val="24"/>
        </w:rPr>
      </w:pPr>
      <w:r>
        <w:rPr>
          <w:rFonts w:hint="eastAsia"/>
          <w:sz w:val="24"/>
        </w:rPr>
        <w:t>无。</w:t>
      </w:r>
    </w:p>
    <w:p w14:paraId="7F266145">
      <w:pPr>
        <w:autoSpaceDE w:val="0"/>
        <w:autoSpaceDN w:val="0"/>
        <w:adjustRightInd w:val="0"/>
        <w:spacing w:line="440" w:lineRule="exact"/>
        <w:ind w:right="360" w:firstLine="480" w:firstLineChars="200"/>
        <w:jc w:val="right"/>
        <w:rPr>
          <w:rFonts w:hint="eastAsia" w:ascii="宋体" w:hAnsi="宋体"/>
          <w:bCs/>
          <w:sz w:val="24"/>
        </w:rPr>
      </w:pPr>
      <w:r>
        <w:rPr>
          <w:rFonts w:hint="eastAsia" w:ascii="宋体" w:hAnsi="宋体"/>
          <w:bCs/>
          <w:sz w:val="24"/>
        </w:rPr>
        <w:t>标准起草</w:t>
      </w:r>
      <w:r>
        <w:rPr>
          <w:rFonts w:hint="eastAsia" w:ascii="宋体" w:hAnsi="宋体"/>
          <w:bCs/>
          <w:sz w:val="24"/>
          <w:lang w:val="en-US" w:eastAsia="zh-CN"/>
        </w:rPr>
        <w:t>工作</w:t>
      </w:r>
      <w:r>
        <w:rPr>
          <w:rFonts w:hint="eastAsia" w:ascii="宋体" w:hAnsi="宋体"/>
          <w:bCs/>
          <w:sz w:val="24"/>
        </w:rPr>
        <w:t>组</w:t>
      </w:r>
    </w:p>
    <w:p w14:paraId="0FB1EA3F">
      <w:pPr>
        <w:autoSpaceDE w:val="0"/>
        <w:autoSpaceDN w:val="0"/>
        <w:adjustRightInd w:val="0"/>
        <w:spacing w:line="440" w:lineRule="exact"/>
        <w:ind w:right="360" w:firstLine="480" w:firstLineChars="200"/>
        <w:jc w:val="right"/>
        <w:rPr>
          <w:sz w:val="24"/>
        </w:rPr>
      </w:pPr>
      <w:r>
        <w:rPr>
          <w:rFonts w:hint="eastAsia" w:ascii="宋体" w:hAnsi="宋体"/>
          <w:bCs/>
          <w:sz w:val="24"/>
        </w:rPr>
        <w:t>202</w:t>
      </w:r>
      <w:r>
        <w:rPr>
          <w:rFonts w:hint="eastAsia" w:ascii="宋体" w:hAnsi="宋体"/>
          <w:bCs/>
          <w:sz w:val="24"/>
          <w:lang w:val="en-US" w:eastAsia="zh-CN"/>
        </w:rPr>
        <w:t>6</w:t>
      </w:r>
      <w:r>
        <w:rPr>
          <w:rFonts w:hint="eastAsia" w:ascii="宋体" w:hAnsi="宋体"/>
          <w:bCs/>
          <w:sz w:val="24"/>
        </w:rPr>
        <w:t>年</w:t>
      </w:r>
      <w:r>
        <w:rPr>
          <w:rFonts w:hint="eastAsia" w:ascii="宋体" w:hAnsi="宋体"/>
          <w:bCs/>
          <w:sz w:val="24"/>
          <w:lang w:val="en-US" w:eastAsia="zh-CN"/>
        </w:rPr>
        <w:t>8</w:t>
      </w:r>
      <w:r>
        <w:rPr>
          <w:rFonts w:hint="eastAsia" w:ascii="宋体" w:hAnsi="宋体"/>
          <w:bCs/>
          <w:sz w:val="24"/>
          <w:lang w:eastAsia="zh-Hans"/>
        </w:rPr>
        <w:t>月</w:t>
      </w:r>
    </w:p>
    <w:sectPr>
      <w:headerReference r:id="rId7" w:type="default"/>
      <w:footerReference r:id="rId8" w:type="default"/>
      <w:footerReference r:id="rId9" w:type="even"/>
      <w:pgSz w:w="11906" w:h="16838"/>
      <w:pgMar w:top="1440" w:right="1531" w:bottom="1440" w:left="1418" w:header="851" w:footer="992" w:gutter="0"/>
      <w:pgNumType w:start="1"/>
      <w:cols w:space="720" w:num="1"/>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C451C">
    <w:pPr>
      <w:pStyle w:val="9"/>
      <w:jc w:val="center"/>
    </w:pPr>
  </w:p>
  <w:p w14:paraId="57B84322">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448E9">
    <w:pPr>
      <w:pStyle w:val="9"/>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56884">
    <w:pPr>
      <w:pStyle w:val="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751BB9">
                          <w:pPr>
                            <w:pStyle w:val="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E751BB9">
                    <w:pPr>
                      <w:pStyle w:val="9"/>
                    </w:pPr>
                    <w:r>
                      <w:fldChar w:fldCharType="begin"/>
                    </w:r>
                    <w:r>
                      <w:instrText xml:space="preserve"> PAGE  \* MERGEFORMAT </w:instrText>
                    </w:r>
                    <w:r>
                      <w:fldChar w:fldCharType="separate"/>
                    </w:r>
                    <w:r>
                      <w:t>2</w:t>
                    </w:r>
                    <w:r>
                      <w:fldChar w:fldCharType="end"/>
                    </w:r>
                  </w:p>
                </w:txbxContent>
              </v:textbox>
            </v:shape>
          </w:pict>
        </mc:Fallback>
      </mc:AlternateContent>
    </w:r>
  </w:p>
  <w:p w14:paraId="29347E8E">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8DA0F">
    <w:pPr>
      <w:pStyle w:val="9"/>
      <w:ind w:right="720"/>
      <w:jc w:val="both"/>
      <w:rPr>
        <w:sz w:val="2"/>
        <w:szCs w:val="2"/>
      </w:rPr>
    </w:pPr>
    <w:r>
      <w:rPr>
        <w:sz w:val="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25272E">
                          <w:pPr>
                            <w:pStyle w:val="9"/>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D25272E">
                    <w:pPr>
                      <w:pStyle w:val="9"/>
                    </w:pPr>
                    <w:r>
                      <w:fldChar w:fldCharType="begin"/>
                    </w:r>
                    <w:r>
                      <w:instrText xml:space="preserve"> PAGE  \* MERGEFORMAT </w:instrText>
                    </w:r>
                    <w:r>
                      <w:fldChar w:fldCharType="separate"/>
                    </w:r>
                    <w:r>
                      <w:t>I</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92C80">
    <w:pPr>
      <w:pStyle w:val="9"/>
      <w:jc w:val="center"/>
    </w:pPr>
    <w:r>
      <w:fldChar w:fldCharType="begin"/>
    </w:r>
    <w:r>
      <w:instrText xml:space="preserve">PAGE   \* MERGEFORMAT</w:instrText>
    </w:r>
    <w:r>
      <w:fldChar w:fldCharType="separate"/>
    </w:r>
    <w:r>
      <w:rPr>
        <w:lang w:val="zh-CN"/>
      </w:rPr>
      <w:t>4</w:t>
    </w:r>
    <w:r>
      <w:fldChar w:fldCharType="end"/>
    </w:r>
  </w:p>
  <w:p w14:paraId="328F9D91">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1B7AB">
    <w:pPr>
      <w:pStyle w:val="9"/>
      <w:framePr w:wrap="around" w:vAnchor="text" w:hAnchor="margin" w:xAlign="center" w:y="1"/>
      <w:rPr>
        <w:rStyle w:val="20"/>
      </w:rPr>
    </w:pPr>
    <w:r>
      <w:rPr>
        <w:rStyle w:val="20"/>
      </w:rPr>
      <w:fldChar w:fldCharType="begin"/>
    </w:r>
    <w:r>
      <w:rPr>
        <w:rStyle w:val="20"/>
      </w:rPr>
      <w:instrText xml:space="preserve">PAGE  </w:instrText>
    </w:r>
    <w:r>
      <w:rPr>
        <w:rStyle w:val="20"/>
      </w:rPr>
      <w:fldChar w:fldCharType="end"/>
    </w:r>
  </w:p>
  <w:p w14:paraId="354B584C">
    <w:pPr>
      <w:pStyle w:val="9"/>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8DBA8">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7D3FBC"/>
    <w:multiLevelType w:val="multilevel"/>
    <w:tmpl w:val="657D3FBC"/>
    <w:lvl w:ilvl="0" w:tentative="0">
      <w:start w:val="1"/>
      <w:numFmt w:val="upperLetter"/>
      <w:pStyle w:val="57"/>
      <w:suff w:val="nothing"/>
      <w:lvlText w:val="附录%1"/>
      <w:lvlJc w:val="left"/>
      <w:pPr>
        <w:ind w:left="0" w:firstLine="0"/>
      </w:pPr>
      <w:rPr>
        <w:rFonts w:hint="eastAsia"/>
        <w:spacing w:val="100"/>
      </w:rPr>
    </w:lvl>
    <w:lvl w:ilvl="1" w:tentative="0">
      <w:start w:val="1"/>
      <w:numFmt w:val="decimal"/>
      <w:pStyle w:val="58"/>
      <w:suff w:val="nothing"/>
      <w:lvlText w:val="%1.%2　"/>
      <w:lvlJc w:val="left"/>
      <w:pPr>
        <w:ind w:left="0" w:firstLine="0"/>
      </w:pPr>
      <w:rPr>
        <w:rFonts w:hint="eastAsia" w:ascii="黑体" w:eastAsia="黑体"/>
        <w:b w:val="0"/>
        <w:i w:val="0"/>
        <w:sz w:val="21"/>
      </w:rPr>
    </w:lvl>
    <w:lvl w:ilvl="2" w:tentative="0">
      <w:start w:val="1"/>
      <w:numFmt w:val="decimal"/>
      <w:pStyle w:val="59"/>
      <w:suff w:val="nothing"/>
      <w:lvlText w:val="%1.%2.%3　"/>
      <w:lvlJc w:val="left"/>
      <w:pPr>
        <w:ind w:left="0" w:firstLine="0"/>
      </w:pPr>
      <w:rPr>
        <w:rFonts w:hint="eastAsia" w:ascii="黑体" w:eastAsia="黑体"/>
        <w:b w:val="0"/>
        <w:i w:val="0"/>
        <w:sz w:val="21"/>
      </w:rPr>
    </w:lvl>
    <w:lvl w:ilvl="3" w:tentative="0">
      <w:start w:val="1"/>
      <w:numFmt w:val="decimal"/>
      <w:pStyle w:val="60"/>
      <w:suff w:val="nothing"/>
      <w:lvlText w:val="%1.%2.%3.%4　"/>
      <w:lvlJc w:val="left"/>
      <w:pPr>
        <w:ind w:left="0" w:firstLine="0"/>
      </w:pPr>
      <w:rPr>
        <w:rFonts w:hint="eastAsia" w:ascii="黑体" w:eastAsia="黑体"/>
        <w:b w:val="0"/>
        <w:i w:val="0"/>
        <w:sz w:val="21"/>
      </w:rPr>
    </w:lvl>
    <w:lvl w:ilvl="4" w:tentative="0">
      <w:start w:val="1"/>
      <w:numFmt w:val="decimal"/>
      <w:pStyle w:val="61"/>
      <w:suff w:val="nothing"/>
      <w:lvlText w:val="%1.%2.%3.%4.%5　"/>
      <w:lvlJc w:val="left"/>
      <w:pPr>
        <w:ind w:left="0" w:firstLine="0"/>
      </w:pPr>
      <w:rPr>
        <w:rFonts w:hint="eastAsia" w:ascii="黑体" w:eastAsia="黑体"/>
        <w:b w:val="0"/>
        <w:i w:val="0"/>
        <w:sz w:val="21"/>
      </w:rPr>
    </w:lvl>
    <w:lvl w:ilvl="5" w:tentative="0">
      <w:start w:val="1"/>
      <w:numFmt w:val="decimal"/>
      <w:pStyle w:val="62"/>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suff w:val="nothing"/>
      <w:lvlText w:val="%1%2　"/>
      <w:lvlJc w:val="left"/>
      <w:pPr>
        <w:ind w:left="0" w:firstLine="0"/>
      </w:pPr>
      <w:rPr>
        <w:rFonts w:hint="eastAsia" w:ascii="黑体" w:eastAsia="黑体"/>
        <w:b w:val="0"/>
        <w:i w:val="0"/>
        <w:sz w:val="21"/>
      </w:rPr>
    </w:lvl>
    <w:lvl w:ilvl="2" w:tentative="0">
      <w:start w:val="1"/>
      <w:numFmt w:val="decimal"/>
      <w:suff w:val="nothing"/>
      <w:lvlText w:val="%1%2.%3　"/>
      <w:lvlJc w:val="left"/>
      <w:pPr>
        <w:ind w:left="284"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45"/>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mirrorMargin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xNzk3YTVkYjQ4ZGYxYWVkMWIwZTNiZjk3NmYwZjUifQ=="/>
    <w:docVar w:name="NE.Ref{05A7DB3F-9F8C-4A1D-BA78-0F5739545D3A}" w:val=" ADDIN NE.Ref.{05A7DB3F-9F8C-4A1D-BA78-0F5739545D3A}&lt;Citation&gt;&lt;Group&gt;&lt;References&gt;&lt;Item&gt;&lt;ID&gt;189&lt;/ID&gt;&lt;UID&gt;{135000FC-BB1B-4DE6-872C-FAE54EA40BAC}&lt;/UID&gt;&lt;Title&gt;中国动物志: 软体动物门. 头足纲&lt;/Title&gt;&lt;Template&gt;Book&lt;/Template&gt;&lt;Star&gt;0&lt;/Star&gt;&lt;Tag&gt;0&lt;/Tag&gt;&lt;Author&gt;董正之&lt;/Author&gt;&lt;Year&gt;1988&lt;/Year&gt;&lt;Details&gt;&lt;_accessed&gt;61034069&lt;/_accessed&gt;&lt;_created&gt;60613429&lt;/_created&gt;&lt;_isbn&gt;7030000684&lt;/_isbn&gt;&lt;_modified&gt;62731557&lt;/_modified&gt;&lt;_pages&gt;123-126&lt;/_pages&gt;&lt;_publisher&gt;科学出版社&lt;/_publisher&gt;&lt;_translated_author&gt;Dong, Zhengzhi&lt;/_translated_author&gt;&lt;/Details&gt;&lt;Extra&gt;&lt;DBUID&gt;{83257D86-98D1-44DA-AA0E-D3472482B013}&lt;/DBUID&gt;&lt;/Extra&gt;&lt;/Item&gt;&lt;/References&gt;&lt;/Group&gt;&lt;/Citation&gt;_x000a_"/>
    <w:docVar w:name="NE.Ref{15C0779F-B67E-4FF8-A71C-6DB4B6790B0D}" w:val=" ADDIN NE.Ref.{15C0779F-B67E-4FF8-A71C-6DB4B6790B0D}&lt;Citation&gt;&lt;Group&gt;&lt;References&gt;&lt;Item&gt;&lt;ID&gt;189&lt;/ID&gt;&lt;UID&gt;{135000FC-BB1B-4DE6-872C-FAE54EA40BAC}&lt;/UID&gt;&lt;Title&gt;中国动物志: 软体动物门. 头足纲&lt;/Title&gt;&lt;Template&gt;Book&lt;/Template&gt;&lt;Star&gt;0&lt;/Star&gt;&lt;Tag&gt;0&lt;/Tag&gt;&lt;Author&gt;董正之&lt;/Author&gt;&lt;Year&gt;1988&lt;/Year&gt;&lt;Details&gt;&lt;_accessed&gt;61034069&lt;/_accessed&gt;&lt;_created&gt;60613429&lt;/_created&gt;&lt;_isbn&gt;7030000684&lt;/_isbn&gt;&lt;_modified&gt;62731557&lt;/_modified&gt;&lt;_pages&gt;123-126&lt;/_pages&gt;&lt;_publisher&gt;科学出版社&lt;/_publisher&gt;&lt;_translated_author&gt;Dong, Zhengzhi&lt;/_translated_author&gt;&lt;/Details&gt;&lt;Extra&gt;&lt;DBUID&gt;{83257D86-98D1-44DA-AA0E-D3472482B013}&lt;/DBUID&gt;&lt;/Extra&gt;&lt;/Item&gt;&lt;/References&gt;&lt;/Group&gt;&lt;/Citation&gt;_x000a_"/>
    <w:docVar w:name="NE.Ref{19F5437F-DF79-4E15-BCBD-817EB122A396}" w:val=" ADDIN NE.Ref.{19F5437F-DF79-4E15-BCBD-817EB122A396}&lt;Citation&gt;&lt;Group&gt;&lt;References&gt;&lt;Item&gt;&lt;ID&gt;1618&lt;/ID&gt;&lt;UID&gt;{A4E55E5E-6670-4813-A2B1-BB64A6D6F9D3}&lt;/UID&gt;&lt;Title&gt;东海区主要经济种类三场一通道及保护区图集&lt;/Title&gt;&lt;Template&gt;Book&lt;/Template&gt;&lt;Star&gt;0&lt;/Star&gt;&lt;Tag&gt;0&lt;/Tag&gt;&lt;Author&gt;周永东; 李圣法&lt;/Author&gt;&lt;Year&gt;2018&lt;/Year&gt;&lt;Details&gt;&lt;_created&gt;62755081&lt;/_created&gt;&lt;_modified&gt;62755085&lt;/_modified&gt;&lt;_publisher&gt;中国海洋出版社&lt;/_publisher&gt;&lt;_pages&gt;43-45&lt;/_pages&gt;&lt;_translated_author&gt;Zhou, Yongdong;Li, Shengfa&lt;/_translated_author&gt;&lt;/Details&gt;&lt;Extra&gt;&lt;DBUID&gt;{83257D86-98D1-44DA-AA0E-D3472482B013}&lt;/DBUID&gt;&lt;/Extra&gt;&lt;/Item&gt;&lt;/References&gt;&lt;/Group&gt;&lt;/Citation&gt;_x000a_"/>
    <w:docVar w:name="NE.Ref{37FBB7A1-082F-475E-8A1E-6644D361E07C}" w:val=" ADDIN NE.Ref.{37FBB7A1-082F-475E-8A1E-6644D361E07C}&lt;Citation&gt;&lt;Group&gt;&lt;References&gt;&lt;Item&gt;&lt;ID&gt;441&lt;/ID&gt;&lt;UID&gt;{31102211-461E-4248-B422-69F1CE9D53D4}&lt;/UID&gt;&lt;Title&gt;世界头足类&lt;/Title&gt;&lt;Template&gt;Book&lt;/Template&gt;&lt;Star&gt;0&lt;/Star&gt;&lt;Tag&gt;0&lt;/Tag&gt;&lt;Author&gt;陈新军; 刘必林; 王尧耕&lt;/Author&gt;&lt;Year&gt;2009&lt;/Year&gt;&lt;Details&gt;&lt;_created&gt;60979546&lt;/_created&gt;&lt;_isbn&gt;7502772022&lt;/_isbn&gt;&lt;_modified&gt;62754915&lt;/_modified&gt;&lt;_pages&gt;5-39&lt;/_pages&gt;&lt;_publisher&gt;海洋出版社&lt;/_publisher&gt;&lt;_translated_author&gt;Chen, Xinjun;Liu, Bilin;Wang, Yaogeng&lt;/_translated_author&gt;&lt;/Details&gt;&lt;Extra&gt;&lt;DBUID&gt;{83257D86-98D1-44DA-AA0E-D3472482B013}&lt;/DBUID&gt;&lt;/Extra&gt;&lt;/Item&gt;&lt;/References&gt;&lt;/Group&gt;&lt;Group&gt;&lt;References&gt;&lt;Item&gt;&lt;ID&gt;189&lt;/ID&gt;&lt;UID&gt;{135000FC-BB1B-4DE6-872C-FAE54EA40BAC}&lt;/UID&gt;&lt;Title&gt;中国动物志: 软体动物门. 头足纲&lt;/Title&gt;&lt;Template&gt;Book&lt;/Template&gt;&lt;Star&gt;0&lt;/Star&gt;&lt;Tag&gt;0&lt;/Tag&gt;&lt;Author&gt;董正之&lt;/Author&gt;&lt;Year&gt;1988&lt;/Year&gt;&lt;Details&gt;&lt;_accessed&gt;61034069&lt;/_accessed&gt;&lt;_created&gt;60613429&lt;/_created&gt;&lt;_isbn&gt;7030000684&lt;/_isbn&gt;&lt;_modified&gt;62731557&lt;/_modified&gt;&lt;_pages&gt;123-126&lt;/_pages&gt;&lt;_publisher&gt;科学出版社&lt;/_publisher&gt;&lt;_translated_author&gt;Dong, Zhengzhi&lt;/_translated_author&gt;&lt;/Details&gt;&lt;Extra&gt;&lt;DBUID&gt;{83257D86-98D1-44DA-AA0E-D3472482B013}&lt;/DBUID&gt;&lt;/Extra&gt;&lt;/Item&gt;&lt;/References&gt;&lt;/Group&gt;&lt;/Citation&gt;_x000a_"/>
    <w:docVar w:name="NE.Ref{4A47C0A7-E22E-471E-AA7D-F3DA30597800}" w:val=" ADDIN NE.Ref.{4A47C0A7-E22E-471E-AA7D-F3DA30597800}&lt;Citation&gt;&lt;Group&gt;&lt;References&gt;&lt;Item&gt;&lt;ID&gt;490&lt;/ID&gt;&lt;UID&gt;{BAD30F6E-A38F-4A81-8CE6-4522AFC21C63}&lt;/UID&gt;&lt;Title&gt;浙江海域曼氏无针乌贼资源演变及修复路径探讨&lt;/Title&gt;&lt;Template&gt;Journal Article&lt;/Template&gt;&lt;Star&gt;0&lt;/Star&gt;&lt;Tag&gt;0&lt;/Tag&gt;&lt;Author&gt;李继姬; 郭宝英; 吴常文&lt;/Author&gt;&lt;Year&gt;2011&lt;/Year&gt;&lt;Details&gt;&lt;_author_adr&gt;浙江海洋学院海洋科学学院浙江省海洋养殖装备与工程技术重点实验室;&lt;/_author_adr&gt;&lt;_created&gt;60996899&lt;/_created&gt;&lt;_db_provider&gt;CNKI&lt;/_db_provider&gt;&lt;_isbn&gt;1008-830X&lt;/_isbn&gt;&lt;_issue&gt;05&lt;/_issue&gt;&lt;_journal&gt;浙江海洋学院学报(自然科学版)&lt;/_journal&gt;&lt;_keywords&gt;曼氏无针乌贼;资源演变;增殖放流&lt;/_keywords&gt;&lt;_modified&gt;60996899&lt;/_modified&gt;&lt;_pages&gt;381-385+396&lt;/_pages&gt;&lt;_translated_author&gt;Li, Jiji;Guo, Baoying;Wu, Changwen&lt;/_translated_author&gt;&lt;/Details&gt;&lt;Extra&gt;&lt;DBUID&gt;{83257D86-98D1-44DA-AA0E-D3472482B013}&lt;/DBUID&gt;&lt;/Extra&gt;&lt;/Item&gt;&lt;/References&gt;&lt;/Group&gt;&lt;/Citation&gt;_x000a_"/>
    <w:docVar w:name="NE.Ref{539C09FB-8FAD-42B2-A293-67039485A6B0}" w:val=" ADDIN NE.Ref.{539C09FB-8FAD-42B2-A293-67039485A6B0}&lt;Citation&gt;&lt;Group&gt;&lt;References&gt;&lt;Item&gt;&lt;ID&gt;441&lt;/ID&gt;&lt;UID&gt;{31102211-461E-4248-B422-69F1CE9D53D4}&lt;/UID&gt;&lt;Title&gt;世界头足类&lt;/Title&gt;&lt;Template&gt;Book&lt;/Template&gt;&lt;Star&gt;0&lt;/Star&gt;&lt;Tag&gt;0&lt;/Tag&gt;&lt;Author&gt;陈新军; 刘必林; 王尧耕&lt;/Author&gt;&lt;Year&gt;2009&lt;/Year&gt;&lt;Details&gt;&lt;_created&gt;60979546&lt;/_created&gt;&lt;_isbn&gt;7502772022&lt;/_isbn&gt;&lt;_modified&gt;62754915&lt;/_modified&gt;&lt;_pages&gt;5-39&lt;/_pages&gt;&lt;_publisher&gt;海洋出版社&lt;/_publisher&gt;&lt;_translated_author&gt;Chen, Xinjun;Liu, Bilin;Wang, Yaogeng&lt;/_translated_author&gt;&lt;/Details&gt;&lt;Extra&gt;&lt;DBUID&gt;{83257D86-98D1-44DA-AA0E-D3472482B013}&lt;/DBUID&gt;&lt;/Extra&gt;&lt;/Item&gt;&lt;/References&gt;&lt;/Group&gt;&lt;/Citation&gt;_x000a_"/>
    <w:docVar w:name="NE.Ref{5FCB36A3-942A-497A-8100-36486DA5330D}" w:val=" ADDIN NE.Ref.{5FCB36A3-942A-497A-8100-36486DA5330D}&lt;Citation&gt;&lt;Group&gt;&lt;References&gt;&lt;Item&gt;&lt;ID&gt;1619&lt;/ID&gt;&lt;UID&gt;{D6EDB082-0EFE-4CD9-B306-873CD7A5300C}&lt;/UID&gt;&lt;Title&gt;浙江近海乌贼资源评估及乌贼渔业管理&lt;/Title&gt;&lt;Template&gt;Journal Article&lt;/Template&gt;&lt;Star&gt;0&lt;/Star&gt;&lt;Tag&gt;0&lt;/Tag&gt;&lt;Author&gt;倪正雅; 徐汉祥&lt;/Author&gt;&lt;Year&gt;1986&lt;/Year&gt;&lt;Details&gt;&lt;_author_adr&gt;浙江省海洋水产研究所,浙江省海洋水产研究所,&lt;/_author_adr&gt;&lt;_db_provider&gt;CNKI&lt;/_db_provider&gt;&lt;_isbn&gt;1004-2490&lt;/_isbn&gt;&lt;_issue&gt;02&lt;/_issue&gt;&lt;_journal&gt;海洋渔业&lt;/_journal&gt;&lt;_keywords&gt;乌贼;浙江近海;大黄鱼;水平状态;大鲜;黄鱼属;持续产量;捕捞力量;渔业管理;资源管理;&lt;/_keywords&gt;&lt;_pages&gt;51-54&lt;/_pages&gt;&lt;_created&gt;62755100&lt;/_created&gt;&lt;_modified&gt;62755100&lt;/_modified&gt;&lt;_collection_scope&gt;CSCD;PKU&lt;/_collection_scope&gt;&lt;_translated_author&gt;Ni, Zhengya;Xu, Hanxiang&lt;/_translated_author&gt;&lt;/Details&gt;&lt;Extra&gt;&lt;DBUID&gt;{83257D86-98D1-44DA-AA0E-D3472482B013}&lt;/DBUID&gt;&lt;/Extra&gt;&lt;/Item&gt;&lt;/References&gt;&lt;/Group&gt;&lt;/Citation&gt;_x000a_"/>
    <w:docVar w:name="NE.Ref{68D12EA2-4744-4716-B57F-72836C229EE3}" w:val=" ADDIN NE.Ref.{68D12EA2-4744-4716-B57F-72836C229EE3} ADDIN NE.Ref.{68D12EA2-4744-4716-B57F-72836C229EE3}&lt;Citation&gt;&lt;Group&gt;&lt;References&gt;&lt;Item&gt;&lt;ID&gt;484&lt;/ID&gt;&lt;UID&gt;{B3D66659-050F-4A74-AE41-702A8FF0F3DE}&lt;/UID&gt;&lt;Title&gt;人工养殖曼氏无针乌贼(Sepiella maindroni)繁殖生物学特性研究&lt;/Title&gt;&lt;Template&gt;Journal Article&lt;/Template&gt;&lt;Star&gt;0&lt;/Star&gt;&lt;Tag&gt;0&lt;/Tag&gt;&lt;Author&gt;张建设; 夏灵敏; 迟长凤; 吴常文&lt;/Author&gt;&lt;Year&gt;2011&lt;/Year&gt;&lt;Details&gt;&lt;_author_adr&gt;浙江海洋学院浙江省海洋养殖装备与工程技术重点实验室;浙江省海洋水产研究所;&lt;/_author_adr&gt;&lt;_created&gt;60996869&lt;/_created&gt;&lt;_db_provider&gt;CNKI&lt;/_db_provider&gt;&lt;_isbn&gt;0029-814X&lt;/_isbn&gt;&lt;_issue&gt;01&lt;/_issue&gt;&lt;_journal&gt;海洋与湖沼&lt;/_journal&gt;&lt;_keywords&gt;曼氏无针乌贼;性腺成熟系数;生殖力;繁殖生物学&lt;/_keywords&gt;&lt;_modified&gt;60996869&lt;/_modified&gt;&lt;_pages&gt;55-59&lt;/_pages&gt;&lt;_collection_scope&gt;CSCD;PKU&lt;/_collection_scope&gt;&lt;_translated_author&gt;Zhang, Jianshe;Xia, Lingmin;Chi, Zhangfeng;Wu, Changwen&lt;/_translated_author&gt;&lt;/Details&gt;&lt;Extra&gt;&lt;DBUID&gt;{83257D86-98D1-44DA-AA0E-D3472482B013}&lt;/DBUID&gt;&lt;/Extra&gt;&lt;/Item&gt;&lt;/References&gt;&lt;/Group&gt;&lt;/Citation&gt;_x000a_"/>
    <w:docVar w:name="NE.Ref{72872F64-EF88-4E27-B3C6-435CEE4EAA42}" w:val=" ADDIN NE.Ref.{72872F64-EF88-4E27-B3C6-435CEE4EAA42}&lt;Citation&gt;&lt;Group&gt;&lt;References&gt;&lt;Item&gt;&lt;ID&gt;1620&lt;/ID&gt;&lt;UID&gt;{3C28C9AE-BC4D-4FFB-820A-27528C41D013}&lt;/UID&gt;&lt;Title&gt;Cloning, characterization, and expression profile of estrogen receptor in common Chinese cuttlefish, Sepiella japonica&lt;/Title&gt;&lt;Template&gt;Journal Article&lt;/Template&gt;&lt;Star&gt;0&lt;/Star&gt;&lt;Tag&gt;0&lt;/Tag&gt;&lt;Author&gt;Lü, Zhen Ming; Liu, Wan; Liu, Li Qin; Wang, Tian Ming; Shi, Hui Lai; Ping, Hong Ling; Chi, Chang Feng; Yang, Jing Wen; Wu, Chang Wen&lt;/Author&gt;&lt;Year&gt;2016&lt;/Year&gt;&lt;Details&gt;&lt;_isbn&gt;1932-5223&lt;/_isbn&gt;&lt;_issue&gt;3&lt;/_issue&gt;&lt;_journal&gt;Journal of Experimental Zoology Part A: Ecological Genetics and Physiology&lt;/_journal&gt;&lt;_pages&gt;181-193&lt;/_pages&gt;&lt;_volume&gt;325&lt;/_volume&gt;&lt;_created&gt;62758973&lt;/_created&gt;&lt;_modified&gt;62758973&lt;/_modified&gt;&lt;/Details&gt;&lt;Extra&gt;&lt;DBUID&gt;{83257D86-98D1-44DA-AA0E-D3472482B013}&lt;/DBUID&gt;&lt;/Extra&gt;&lt;/Item&gt;&lt;/References&gt;&lt;/Group&gt;&lt;Group&gt;&lt;References&gt;&lt;Item&gt;&lt;ID&gt;1621&lt;/ID&gt;&lt;UID&gt;{BA6C302F-6A1B-4A8B-A480-BCEEAF47A94F}&lt;/UID&gt;&lt;Title&gt;Abrupt changes in distance between succeeding septa at the hatching time in modern coleoids Sepiella japonica and Spirula spirula&lt;/Title&gt;&lt;Template&gt;Journal Article&lt;/Template&gt;&lt;Star&gt;0&lt;/Star&gt;&lt;Tag&gt;0&lt;/Tag&gt;&lt;Author&gt;Yamaguchi, Ayaka; Kumada, Yuichiro; Alfaro, Andrea C; Wani, Ryoji&lt;/Author&gt;&lt;Year&gt;2015&lt;/Year&gt;&lt;Details&gt;&lt;_isbn&gt;1664-2376&lt;/_isbn&gt;&lt;_issue&gt;2&lt;/_issue&gt;&lt;_journal&gt;Swiss Journal of Palaeontology&lt;/_journal&gt;&lt;_pages&gt;301-307&lt;/_pages&gt;&lt;_volume&gt;134&lt;/_volume&gt;&lt;_created&gt;62758976&lt;/_created&gt;&lt;_modified&gt;62758976&lt;/_modified&gt;&lt;_impact_factor&gt;   0.953&lt;/_impact_factor&gt;&lt;_collection_scope&gt;SCIE&lt;/_collection_scope&gt;&lt;/Details&gt;&lt;Extra&gt;&lt;DBUID&gt;{83257D86-98D1-44DA-AA0E-D3472482B013}&lt;/DBUID&gt;&lt;/Extra&gt;&lt;/Item&gt;&lt;/References&gt;&lt;/Group&gt;&lt;Group&gt;&lt;References&gt;&lt;Item&gt;&lt;ID&gt;1556&lt;/ID&gt;&lt;UID&gt;{94FD9343-1C77-4F91-B498-42F299ED91E9}&lt;/UID&gt;&lt;Title&gt;Cephalopod culture&lt;/Title&gt;&lt;Template&gt;Book&lt;/Template&gt;&lt;Star&gt;0&lt;/Star&gt;&lt;Tag&gt;1&lt;/Tag&gt;&lt;Author&gt;Iglesias, José; Fuentes, Lidia; Villanueva, Roger&lt;/Author&gt;&lt;Year&gt;2014&lt;/Year&gt;&lt;Details&gt;&lt;_created&gt;62652896&lt;/_created&gt;&lt;_isbn&gt;9401786488&lt;/_isbn&gt;&lt;_modified&gt;62758978&lt;/_modified&gt;&lt;_publisher&gt;Springer Science &amp;amp; Business Media&lt;/_publisher&gt;&lt;_pages&gt;241-252&lt;/_pages&gt;&lt;/Details&gt;&lt;Extra&gt;&lt;DBUID&gt;{83257D86-98D1-44DA-AA0E-D3472482B013}&lt;/DBUID&gt;&lt;/Extra&gt;&lt;/Item&gt;&lt;/References&gt;&lt;/Group&gt;&lt;/Citation&gt;_x000a_"/>
    <w:docVar w:name="NE.Ref{8460144C-26F2-49FA-A7BF-E203A9CBBA5E}" w:val=" ADDIN NE.Ref.{8460144C-26F2-49FA-A7BF-E203A9CBBA5E}&lt;Citation&gt;&lt;Group&gt;&lt;References&gt;&lt;Item&gt;&lt;ID&gt;189&lt;/ID&gt;&lt;UID&gt;{135000FC-BB1B-4DE6-872C-FAE54EA40BAC}&lt;/UID&gt;&lt;Title&gt;中国动物志: 软体动物门. 头足纲&lt;/Title&gt;&lt;Template&gt;Book&lt;/Template&gt;&lt;Star&gt;0&lt;/Star&gt;&lt;Tag&gt;0&lt;/Tag&gt;&lt;Author&gt;董正之&lt;/Author&gt;&lt;Year&gt;1988&lt;/Year&gt;&lt;Details&gt;&lt;_accessed&gt;61034069&lt;/_accessed&gt;&lt;_created&gt;60613429&lt;/_created&gt;&lt;_isbn&gt;7030000684&lt;/_isbn&gt;&lt;_modified&gt;62731557&lt;/_modified&gt;&lt;_pages&gt;123-126&lt;/_pages&gt;&lt;_publisher&gt;科学出版社&lt;/_publisher&gt;&lt;_translated_author&gt;Dong, Zhengzhi&lt;/_translated_author&gt;&lt;/Details&gt;&lt;Extra&gt;&lt;DBUID&gt;{83257D86-98D1-44DA-AA0E-D3472482B013}&lt;/DBUID&gt;&lt;/Extra&gt;&lt;/Item&gt;&lt;/References&gt;&lt;/Group&gt;&lt;Group&gt;&lt;References&gt;&lt;Item&gt;&lt;ID&gt;441&lt;/ID&gt;&lt;UID&gt;{31102211-461E-4248-B422-69F1CE9D53D4}&lt;/UID&gt;&lt;Title&gt;世界头足类&lt;/Title&gt;&lt;Template&gt;Book&lt;/Template&gt;&lt;Star&gt;0&lt;/Star&gt;&lt;Tag&gt;0&lt;/Tag&gt;&lt;Author&gt;陈新军; 刘必林; 王尧耕&lt;/Author&gt;&lt;Year&gt;2009&lt;/Year&gt;&lt;Details&gt;&lt;_created&gt;60979546&lt;/_created&gt;&lt;_isbn&gt;7502772022&lt;/_isbn&gt;&lt;_modified&gt;62754915&lt;/_modified&gt;&lt;_pages&gt;5-39&lt;/_pages&gt;&lt;_publisher&gt;海洋出版社&lt;/_publisher&gt;&lt;_translated_author&gt;Chen, Xinjun;Liu, Bilin;Wang, Yaogeng&lt;/_translated_author&gt;&lt;/Details&gt;&lt;Extra&gt;&lt;DBUID&gt;{83257D86-98D1-44DA-AA0E-D3472482B013}&lt;/DBUID&gt;&lt;/Extra&gt;&lt;/Item&gt;&lt;/References&gt;&lt;/Group&gt;&lt;/Citation&gt;_x000a_"/>
    <w:docVar w:name="NE.Ref{A29FBBA1-A1C8-4C69-B97D-61029F16EC54}" w:val=" ADDIN NE.Ref.{A29FBBA1-A1C8-4C69-B97D-61029F16EC54} ADDIN NE.Ref.{A29FBBA1-A1C8-4C69-B97D-61029F16EC54}&lt;Citation&gt;&lt;Group&gt;&lt;References&gt;&lt;Item&gt;&lt;ID&gt;1615&lt;/ID&gt;&lt;UID&gt;{89E1620B-075D-4C45-8343-008D18CC9EAD}&lt;/UID&gt;&lt;Title&gt;金乌贼染色体核型分析&lt;/Title&gt;&lt;Template&gt;Journal Article&lt;/Template&gt;&lt;Star&gt;0&lt;/Star&gt;&lt;Tag&gt;0&lt;/Tag&gt;&lt;Author&gt;王晓华; 吴彪; 李琪; 陈四清; 庄志猛; 刘长琳; 孙建明; 杨爱国&lt;/Author&gt;&lt;Year&gt;2011&lt;/Year&gt;&lt;Details&gt;&lt;_author_adr&gt;中国海洋大学;中国水产科学研究院黄海水产研究所;&lt;/_author_adr&gt;&lt;_db_provider&gt;CNKI&lt;/_db_provider&gt;&lt;_isbn&gt;0250-3263&lt;/_isbn&gt;&lt;_issue&gt;02&lt;/_issue&gt;&lt;_journal&gt;动物学杂志&lt;/_journal&gt;&lt;_keywords&gt;金乌贼;;染色体;;核型&lt;/_keywords&gt;&lt;_pages&gt;77-81&lt;/_pages&gt;&lt;_volume&gt;46&lt;/_volume&gt;&lt;_created&gt;62731368&lt;/_created&gt;&lt;_modified&gt;62731368&lt;/_modified&gt;&lt;_collection_scope&gt;CSCD;PKU&lt;/_collection_scope&gt;&lt;_url&gt;http://epub.cnki.net/kns/download.aspx?filename=rl0V5djZ3FTesh0VOVXZQ5GNyMXUNlHNBZUNihHawMUa0gmNGRGUZx0SYFVT4kENwI3bYRmazVmbGVEW5UjRHx2QOxmaUtEOJxGa2AjazImaGplbs5GU5FndIxEd2VzcBdFRyRTW00mcNJUaaN0TTR3biVne1ZWM&amp;amp;tablename=CJFD2011&amp;amp;dflag=pdfdown 全文链接_x000d__x000a_&lt;/_url&gt;&lt;_translated_author&gt;Wang, Xiaohua;Wu, Biao;Li, Qi;Chen, Siqing;Zhuang, Zhimeng;Liu, Zhanglin;Sun, Jianming;Yang, Aiguo&lt;/_translated_author&gt;&lt;/Details&gt;&lt;Extra&gt;&lt;DBUID&gt;{83257D86-98D1-44DA-AA0E-D3472482B013}&lt;/DBUID&gt;&lt;/Extra&gt;&lt;/Item&gt;&lt;/References&gt;&lt;/Group&gt;&lt;/Citation&gt;_x000a_"/>
    <w:docVar w:name="NE.Ref{AFB6182F-4F89-4FA9-94F4-16E407026774}" w:val=" ADDIN NE.Ref.{AFB6182F-4F89-4FA9-94F4-16E407026774} ADDIN NE.Ref.{AFB6182F-4F89-4FA9-94F4-16E407026774}&lt;Citation&gt;&lt;Group&gt;&lt;References&gt;&lt;Item&gt;&lt;ID&gt;40&lt;/ID&gt;&lt;UID&gt;{1950F6E9-2615-4DEC-91F0-50A7D3E68B1C}&lt;/UID&gt;&lt;Title&gt;日本无针乌贼全人工养殖条件下生活史研究&lt;/Title&gt;&lt;Template&gt;Journal Article&lt;/Template&gt;&lt;Star&gt;0&lt;/Star&gt;&lt;Tag&gt;0&lt;/Tag&gt;&lt;Author&gt;郑小东; 林祥志; 王昭凯; 于瑞海; 田传远; 李琪&lt;/Author&gt;&lt;Year&gt;2010&lt;/Year&gt;&lt;Details&gt;&lt;_accessed&gt;60525988&lt;/_accessed&gt;&lt;_author_adr&gt;中国海洋大学水产学院;国家海洋局第三海洋研究所;&lt;/_author_adr&gt;&lt;_collection_scope&gt;中国科技核心期刊;中文核心期刊;CSCD;&lt;/_collection_scope&gt;&lt;_created&gt;60525465&lt;/_created&gt;&lt;_db_provider&gt;CNKI&lt;/_db_provider&gt;&lt;_isbn&gt;1003-6482&lt;/_isbn&gt;&lt;_issue&gt;03&lt;/_issue&gt;&lt;_journal&gt;海洋湖沼通报&lt;/_journal&gt;&lt;_keywords&gt;日本无针乌贼;全人工养殖;生活史&lt;/_keywords&gt;&lt;_modified&gt;61556873&lt;/_modified&gt;&lt;_pages&gt;24-28&lt;/_pages&gt;&lt;_translated_author&gt;Zheng, Xiaodong;Lin, Xiangzhi;Wang, Zhaokai;Yu, Ruihai;Tian, Chuanyuan;Li, Qi&lt;/_translated_author&gt;&lt;/Details&gt;&lt;Extra&gt;&lt;DBUID&gt;{83257D86-98D1-44DA-AA0E-D3472482B013}&lt;/DBUID&gt;&lt;/Extra&gt;&lt;/Item&gt;&lt;/References&gt;&lt;/Group&gt;&lt;/Citation&gt;_x000a_"/>
    <w:docVar w:name="NE.Ref{B0B88C8F-CD83-4193-BA4F-7F6A48B9F29A}" w:val=" ADDIN NE.Ref.{B0B88C8F-CD83-4193-BA4F-7F6A48B9F29A}&lt;Citation&gt;&lt;Group&gt;&lt;References&gt;&lt;Item&gt;&lt;ID&gt;1556&lt;/ID&gt;&lt;UID&gt;{94FD9343-1C77-4F91-B498-42F299ED91E9}&lt;/UID&gt;&lt;Title&gt;Cephalopod culture&lt;/Title&gt;&lt;Template&gt;Book&lt;/Template&gt;&lt;Star&gt;0&lt;/Star&gt;&lt;Tag&gt;1&lt;/Tag&gt;&lt;Author&gt;Iglesias, José; Fuentes, Lidia; Villanueva, Roger&lt;/Author&gt;&lt;Year&gt;2014&lt;/Year&gt;&lt;Details&gt;&lt;_created&gt;62652896&lt;/_created&gt;&lt;_isbn&gt;9401786488&lt;/_isbn&gt;&lt;_modified&gt;62652927&lt;/_modified&gt;&lt;_publisher&gt;Springer Science &amp;amp; Business Media&lt;/_publisher&gt;&lt;/Details&gt;&lt;Extra&gt;&lt;DBUID&gt;{83257D86-98D1-44DA-AA0E-D3472482B013}&lt;/DBUID&gt;&lt;/Extra&gt;&lt;/Item&gt;&lt;/References&gt;&lt;/Group&gt;&lt;/Citation&gt;_x000a_"/>
    <w:docVar w:name="NE.Ref{B880DDDA-13C5-4FCE-A64E-B588116924C4}" w:val=" ADDIN NE.Ref.{B880DDDA-13C5-4FCE-A64E-B588116924C4}&lt;Citation&gt;&lt;Group&gt;&lt;References&gt;&lt;Item&gt;&lt;ID&gt;490&lt;/ID&gt;&lt;UID&gt;{BAD30F6E-A38F-4A81-8CE6-4522AFC21C63}&lt;/UID&gt;&lt;Title&gt;浙江海域曼氏无针乌贼资源演变及修复路径探讨&lt;/Title&gt;&lt;Template&gt;Journal Article&lt;/Template&gt;&lt;Star&gt;0&lt;/Star&gt;&lt;Tag&gt;0&lt;/Tag&gt;&lt;Author&gt;李继姬; 郭宝英; 吴常文&lt;/Author&gt;&lt;Year&gt;2011&lt;/Year&gt;&lt;Details&gt;&lt;_author_adr&gt;浙江海洋学院海洋科学学院浙江省海洋养殖装备与工程技术重点实验室;&lt;/_author_adr&gt;&lt;_created&gt;60996899&lt;/_created&gt;&lt;_db_provider&gt;CNKI&lt;/_db_provider&gt;&lt;_isbn&gt;1008-830X&lt;/_isbn&gt;&lt;_issue&gt;05&lt;/_issue&gt;&lt;_journal&gt;浙江海洋学院学报(自然科学版)&lt;/_journal&gt;&lt;_keywords&gt;曼氏无针乌贼;资源演变;增殖放流&lt;/_keywords&gt;&lt;_modified&gt;60996899&lt;/_modified&gt;&lt;_pages&gt;381-385+396&lt;/_pages&gt;&lt;_translated_author&gt;Li, Jiji;Guo, Baoying;Wu, Changwen&lt;/_translated_author&gt;&lt;/Details&gt;&lt;Extra&gt;&lt;DBUID&gt;{83257D86-98D1-44DA-AA0E-D3472482B013}&lt;/DBUID&gt;&lt;/Extra&gt;&lt;/Item&gt;&lt;/References&gt;&lt;/Group&gt;&lt;/Citation&gt;_x000a_"/>
    <w:docVar w:name="NE.Ref{BDEDE4D3-5C9E-4B97-B5E1-89571D804FF7}" w:val=" ADDIN NE.Ref.{BDEDE4D3-5C9E-4B97-B5E1-89571D804FF7} ADDIN NE.Ref.{BDEDE4D3-5C9E-4B97-B5E1-89571D804FF7}&lt;Citation&gt;&lt;Group&gt;&lt;References&gt;&lt;Item&gt;&lt;ID&gt;236&lt;/ID&gt;&lt;UID&gt;{E8958DAD-FBF1-4DB3-8C4F-FA406F7B5396}&lt;/UID&gt;&lt;Title&gt;曼氏无针乌贼Sepiella maindroni de Rochebrune怀卵量及生殖力&lt;/Title&gt;&lt;Template&gt;Journal Article&lt;/Template&gt;&lt;Star&gt;0&lt;/Star&gt;&lt;Tag&gt;0&lt;/Tag&gt;&lt;Author&gt;李星颉; 戴健寿; 唐志跃&lt;/Author&gt;&lt;Year&gt;1985&lt;/Year&gt;&lt;Details&gt;&lt;_author_adr&gt;浙江水产学院,浙江水产学院,浙江水产学院,&lt;/_author_adr&gt;&lt;_created&gt;60615032&lt;/_created&gt;&lt;_db_provider&gt;CNKI&lt;/_db_provider&gt;&lt;_isbn&gt;1008-830X&lt;/_isbn&gt;&lt;_issue&gt;01&lt;/_issue&gt;&lt;_journal&gt;浙江水产学院学报&lt;/_journal&gt;&lt;_keywords&gt;生殖力;无针乌贼;怀卵量;缠卵腺;胴长;雌性个体;变动范围;补充群体;鱼类生态学;群体数量;&lt;/_keywords&gt;&lt;_modified&gt;60615032&lt;/_modified&gt;&lt;_pages&gt;1-7+4&lt;/_pages&gt;&lt;_translated_author&gt;Li, Xingjie;Dai, Jianshou;Tang, Zhiyue&lt;/_translated_author&gt;&lt;/Details&gt;&lt;Extra&gt;&lt;DBUID&gt;{83257D86-98D1-44DA-AA0E-D3472482B013}&lt;/DBUID&gt;&lt;/Extra&gt;&lt;/Item&gt;&lt;/References&gt;&lt;/Group&gt;&lt;/Citation&gt;_x000a_"/>
    <w:docVar w:name="NE.Ref{C4FB6E32-AF81-4878-8CC6-733C65B7C437}" w:val=" ADDIN NE.Ref.{C4FB6E32-AF81-4878-8CC6-733C65B7C437} ADDIN NE.Ref.{C4FB6E32-AF81-4878-8CC6-733C65B7C437}&lt;Citation&gt;&lt;Group&gt;&lt;References&gt;&lt;Item&gt;&lt;ID&gt;189&lt;/ID&gt;&lt;UID&gt;{135000FC-BB1B-4DE6-872C-FAE54EA40BAC}&lt;/UID&gt;&lt;Title&gt;中国动物志: 软体动物门. 头足纲&lt;/Title&gt;&lt;Template&gt;Book&lt;/Template&gt;&lt;Star&gt;0&lt;/Star&gt;&lt;Tag&gt;0&lt;/Tag&gt;&lt;Author&gt;董正之&lt;/Author&gt;&lt;Year&gt;1988&lt;/Year&gt;&lt;Details&gt;&lt;_accessed&gt;61034069&lt;/_accessed&gt;&lt;_created&gt;60613429&lt;/_created&gt;&lt;_isbn&gt;7030000684&lt;/_isbn&gt;&lt;_modified&gt;62731557&lt;/_modified&gt;&lt;_pages&gt;123-126&lt;/_pages&gt;&lt;_publisher&gt;科学出版社&lt;/_publisher&gt;&lt;_translated_author&gt;Dong, Zhengzhi&lt;/_translated_author&gt;&lt;/Details&gt;&lt;Extra&gt;&lt;DBUID&gt;{83257D86-98D1-44DA-AA0E-D3472482B013}&lt;/DBUID&gt;&lt;/Extra&gt;&lt;/Item&gt;&lt;/References&gt;&lt;/Group&gt;&lt;/Citation&gt;_x000a_"/>
    <w:docVar w:name="NE.Ref{E5D2EA16-9FDB-4595-834E-D33C5E67C989}" w:val=" ADDIN NE.Ref.{E5D2EA16-9FDB-4595-834E-D33C5E67C989} ADDIN NE.Ref.{E5D2EA16-9FDB-4595-834E-D33C5E67C989}&lt;Citation&gt;&lt;Group&gt;&lt;References&gt;&lt;Item&gt;&lt;ID&gt;1615&lt;/ID&gt;&lt;UID&gt;{89E1620B-075D-4C45-8343-008D18CC9EAD}&lt;/UID&gt;&lt;Title&gt;金乌贼染色体核型分析&lt;/Title&gt;&lt;Template&gt;Journal Article&lt;/Template&gt;&lt;Star&gt;0&lt;/Star&gt;&lt;Tag&gt;0&lt;/Tag&gt;&lt;Author&gt;王晓华; 吴彪; 李琪; 陈四清; 庄志猛; 刘长琳; 孙建明; 杨爱国&lt;/Author&gt;&lt;Year&gt;2011&lt;/Year&gt;&lt;Details&gt;&lt;_author_adr&gt;中国海洋大学;中国水产科学研究院黄海水产研究所;&lt;/_author_adr&gt;&lt;_db_provider&gt;CNKI&lt;/_db_provider&gt;&lt;_isbn&gt;0250-3263&lt;/_isbn&gt;&lt;_issue&gt;02&lt;/_issue&gt;&lt;_journal&gt;动物学杂志&lt;/_journal&gt;&lt;_keywords&gt;金乌贼;;染色体;;核型&lt;/_keywords&gt;&lt;_pages&gt;77-81&lt;/_pages&gt;&lt;_volume&gt;46&lt;/_volume&gt;&lt;_created&gt;62731368&lt;/_created&gt;&lt;_modified&gt;62731368&lt;/_modified&gt;&lt;_collection_scope&gt;CSCD;PKU&lt;/_collection_scope&gt;&lt;_url&gt;http://epub.cnki.net/kns/download.aspx?filename=rl0V5djZ3FTesh0VOVXZQ5GNyMXUNlHNBZUNihHawMUa0gmNGRGUZx0SYFVT4kENwI3bYRmazVmbGVEW5UjRHx2QOxmaUtEOJxGa2AjazImaGplbs5GU5FndIxEd2VzcBdFRyRTW00mcNJUaaN0TTR3biVne1ZWM&amp;amp;tablename=CJFD2011&amp;amp;dflag=pdfdown 全文链接_x000d__x000a_&lt;/_url&gt;&lt;_translated_author&gt;Wang, Xiaohua;Wu, Biao;Li, Qi;Chen, Siqing;Zhuang, Zhimeng;Liu, Zhanglin;Sun, Jianming;Yang, Aiguo&lt;/_translated_author&gt;&lt;/Details&gt;&lt;Extra&gt;&lt;DBUID&gt;{83257D86-98D1-44DA-AA0E-D3472482B013}&lt;/DBUID&gt;&lt;/Extra&gt;&lt;/Item&gt;&lt;/References&gt;&lt;/Group&gt;&lt;/Citation&gt;_x000a_"/>
    <w:docVar w:name="NE.Ref{EE7C65D1-8E7F-43AF-B2D7-965AA4510D1F}" w:val=" ADDIN NE.Ref.{EE7C65D1-8E7F-43AF-B2D7-965AA4510D1F} ADDIN NE.Ref.{EE7C65D1-8E7F-43AF-B2D7-965AA4510D1F}&lt;Citation&gt;&lt;Group&gt;&lt;References&gt;&lt;Item&gt;&lt;ID&gt;189&lt;/ID&gt;&lt;UID&gt;{135000FC-BB1B-4DE6-872C-FAE54EA40BAC}&lt;/UID&gt;&lt;Title&gt;中国动物志: 软体动物门. 头足纲&lt;/Title&gt;&lt;Template&gt;Book&lt;/Template&gt;&lt;Star&gt;0&lt;/Star&gt;&lt;Tag&gt;0&lt;/Tag&gt;&lt;Author&gt;董正之&lt;/Author&gt;&lt;Year&gt;1988&lt;/Year&gt;&lt;Details&gt;&lt;_accessed&gt;61034069&lt;/_accessed&gt;&lt;_created&gt;60613429&lt;/_created&gt;&lt;_isbn&gt;7030000684&lt;/_isbn&gt;&lt;_modified&gt;62731557&lt;/_modified&gt;&lt;_pages&gt;123-126&lt;/_pages&gt;&lt;_publisher&gt;科学出版社&lt;/_publisher&gt;&lt;_translated_author&gt;Dong, Zhengzhi&lt;/_translated_author&gt;&lt;/Details&gt;&lt;Extra&gt;&lt;DBUID&gt;{83257D86-98D1-44DA-AA0E-D3472482B013}&lt;/DBUID&gt;&lt;/Extra&gt;&lt;/Item&gt;&lt;/References&gt;&lt;/Group&gt;&lt;Group&gt;&lt;References&gt;&lt;Item&gt;&lt;ID&gt;50&lt;/ID&gt;&lt;UID&gt;{4404AD2F-98D6-4C43-9089-9E04A0EF6EFE}&lt;/UID&gt;&lt;Title&gt;曼氏无针乌贼Sepiella maindroni de Rochebrune繁殖习性的初步观察&lt;/Title&gt;&lt;Template&gt;Journal Article&lt;/Template&gt;&lt;Star&gt;0&lt;/Star&gt;&lt;Tag&gt;0&lt;/Tag&gt;&lt;Author&gt;张炯; 卢伟成&lt;/Author&gt;&lt;Year&gt;1965&lt;/Year&gt;&lt;Details&gt;&lt;_author_adr&gt;浙江省动物研究室_x000d__x000a__x000d__x000a__x000d__x000a__x000d__x000a__x000d__x000a__x000d__x000a__x000d__x000a__x000d__x000a__x000d__x000a__x000d__x000a_,浙江省动物研究室 浙江医科大学&lt;/_author_adr&gt;&lt;_collection_scope&gt;中国科技核心期刊;中文核心期刊;CSCD;&lt;/_collection_scope&gt;&lt;_created&gt;60526940&lt;/_created&gt;&lt;_db_provider&gt;CNKI&lt;/_db_provider&gt;&lt;_isbn&gt;1000-0615&lt;/_isbn&gt;&lt;_issue&gt;02&lt;/_issue&gt;&lt;_journal&gt;水产学报&lt;/_journal&gt;&lt;_keywords&gt;无针乌贼;繁殖习性;沿海分布;头足类;生物学习性;鸟贼;卵子发生;繁殖保护;外套腔;水产资源;&lt;/_keywords&gt;&lt;_modified&gt;62448397&lt;/_modified&gt;&lt;_pages&gt;35-44&lt;/_pages&gt;&lt;_translated_author&gt;Zhang, Jiong;Lu, Weicheng&lt;/_translated_author&gt;&lt;/Details&gt;&lt;Extra&gt;&lt;DBUID&gt;{83257D86-98D1-44DA-AA0E-D3472482B013}&lt;/DBUID&gt;&lt;/Extra&gt;&lt;/Item&gt;&lt;/References&gt;&lt;/Group&gt;&lt;/Citation&gt;_x000a_"/>
    <w:docVar w:name="NE.Ref{EFEC3F31-22CC-4377-854B-A9E26484E749}" w:val=" ADDIN NE.Ref.{EFEC3F31-22CC-4377-854B-A9E26484E749} ADDIN NE.Ref.{EFEC3F31-22CC-4377-854B-A9E26484E749}&lt;Citation&gt;&lt;Group&gt;&lt;References&gt;&lt;Item&gt;&lt;ID&gt;242&lt;/ID&gt;&lt;UID&gt;{0C575DE6-26D2-445E-BD2E-7C87F5765F28}&lt;/UID&gt;&lt;Title&gt;胶州湾及邻近水域曼氏无针乌贼的生长和季节分布&lt;/Title&gt;&lt;Template&gt;Journal Article&lt;/Template&gt;&lt;Star&gt;0&lt;/Star&gt;&lt;Tag&gt;0&lt;/Tag&gt;&lt;Author&gt;张宝琳; 孙道元; 毕洪生; 吴耀泉; 黄勃&lt;/Author&gt;&lt;Year&gt;1997&lt;/Year&gt;&lt;Details&gt;&lt;_author_adr&gt;中国科学院海洋研究所!青岛266071,中国科学院海洋研究所!青岛266071,中国科学院海洋研究所!青岛266071,中国科学院海洋研究所!青岛266071,中国科学院海洋研究所!青岛266071&lt;/_author_adr&gt;&lt;_created&gt;60615141&lt;/_created&gt;&lt;_db_provider&gt;CNKI&lt;/_db_provider&gt;&lt;_isbn&gt;1000-3096&lt;/_isbn&gt;&lt;_issue&gt;05&lt;/_issue&gt;&lt;_journal&gt;海洋科学&lt;/_journal&gt;&lt;_keywords&gt;曼氏无针乌贼;生长;季节分布&lt;/_keywords&gt;&lt;_modified&gt;62745019&lt;/_modified&gt;&lt;_pages&gt;61-64&lt;/_pages&gt;&lt;_collection_scope&gt;PKU&lt;/_collection_scope&gt;&lt;_translated_author&gt;Zhang, Baolin;Sun, Daoyuan;Bi, Hongsheng;Wu, Yaoquan;Huang, Bo&lt;/_translated_author&gt;&lt;/Details&gt;&lt;Extra&gt;&lt;DBUID&gt;{83257D86-98D1-44DA-AA0E-D3472482B013}&lt;/DBUID&gt;&lt;/Extra&gt;&lt;/Item&gt;&lt;/References&gt;&lt;/Group&gt;&lt;/Citation&gt;_x000a_"/>
    <w:docVar w:name="NE.Ref{F8D20E95-69A4-4363-BFDD-9E32809B402D}" w:val=" ADDIN NE.Ref.{F8D20E95-69A4-4363-BFDD-9E32809B402D} ADDIN NE.Ref.{F8D20E95-69A4-4363-BFDD-9E32809B402D}&lt;Citation&gt;&lt;Group&gt;&lt;References&gt;&lt;Item&gt;&lt;ID&gt;50&lt;/ID&gt;&lt;UID&gt;{4404AD2F-98D6-4C43-9089-9E04A0EF6EFE}&lt;/UID&gt;&lt;Title&gt;曼氏无针乌贼Sepiella maindroni de Rochebrune繁殖习性的初步观察&lt;/Title&gt;&lt;Template&gt;Journal Article&lt;/Template&gt;&lt;Star&gt;0&lt;/Star&gt;&lt;Tag&gt;0&lt;/Tag&gt;&lt;Author&gt;张炯; 卢伟成&lt;/Author&gt;&lt;Year&gt;1965&lt;/Year&gt;&lt;Details&gt;&lt;_author_adr&gt;浙江省动物研究室_x000d__x000a__x000d__x000a__x000d__x000a__x000d__x000a__x000d__x000a__x000d__x000a__x000d__x000a__x000d__x000a__x000d__x000a__x000d__x000a_,浙江省动物研究室 浙江医科大学&lt;/_author_adr&gt;&lt;_collection_scope&gt;中国科技核心期刊;中文核心期刊;CSCD;&lt;/_collection_scope&gt;&lt;_created&gt;60526940&lt;/_created&gt;&lt;_db_provider&gt;CNKI&lt;/_db_provider&gt;&lt;_isbn&gt;1000-0615&lt;/_isbn&gt;&lt;_issue&gt;02&lt;/_issue&gt;&lt;_journal&gt;水产学报&lt;/_journal&gt;&lt;_keywords&gt;无针乌贼;繁殖习性;沿海分布;头足类;生物学习性;鸟贼;卵子发生;繁殖保护;外套腔;水产资源;&lt;/_keywords&gt;&lt;_modified&gt;62448397&lt;/_modified&gt;&lt;_pages&gt;35-44&lt;/_pages&gt;&lt;_translated_author&gt;Zhang, Jiong;Lu, Weicheng&lt;/_translated_author&gt;&lt;/Details&gt;&lt;Extra&gt;&lt;DBUID&gt;{83257D86-98D1-44DA-AA0E-D3472482B013}&lt;/DBUID&gt;&lt;/Extra&gt;&lt;/Item&gt;&lt;/References&gt;&lt;/Group&gt;&lt;Group&gt;&lt;References&gt;&lt;Item&gt;&lt;ID&gt;236&lt;/ID&gt;&lt;UID&gt;{E8958DAD-FBF1-4DB3-8C4F-FA406F7B5396}&lt;/UID&gt;&lt;Title&gt;曼氏无针乌贼Sepiella maindroni de Rochebrune怀卵量及生殖力&lt;/Title&gt;&lt;Template&gt;Journal Article&lt;/Template&gt;&lt;Star&gt;0&lt;/Star&gt;&lt;Tag&gt;0&lt;/Tag&gt;&lt;Author&gt;李星颉; 戴健寿; 唐志跃&lt;/Author&gt;&lt;Year&gt;1985&lt;/Year&gt;&lt;Details&gt;&lt;_author_adr&gt;浙江水产学院,浙江水产学院,浙江水产学院,&lt;/_author_adr&gt;&lt;_created&gt;60615032&lt;/_created&gt;&lt;_db_provider&gt;CNKI&lt;/_db_provider&gt;&lt;_isbn&gt;1008-830X&lt;/_isbn&gt;&lt;_issue&gt;01&lt;/_issue&gt;&lt;_journal&gt;浙江水产学院学报&lt;/_journal&gt;&lt;_keywords&gt;生殖力;无针乌贼;怀卵量;缠卵腺;胴长;雌性个体;变动范围;补充群体;鱼类生态学;群体数量;&lt;/_keywords&gt;&lt;_modified&gt;60615032&lt;/_modified&gt;&lt;_pages&gt;1-7+4&lt;/_pages&gt;&lt;_translated_author&gt;Li, Xingjie;Dai, Jianshou;Tang, Zhiyue&lt;/_translated_author&gt;&lt;/Details&gt;&lt;Extra&gt;&lt;DBUID&gt;{83257D86-98D1-44DA-AA0E-D3472482B013}&lt;/DBUID&gt;&lt;/Extra&gt;&lt;/Item&gt;&lt;/References&gt;&lt;/Group&gt;&lt;Group&gt;&lt;References&gt;&lt;Item&gt;&lt;ID&gt;49&lt;/ID&gt;&lt;UID&gt;{4D3B887A-4D58-48BC-9A26-A91E0716BC9A}&lt;/UID&gt;&lt;Title&gt;浙江近海曼氏无针乌贼卵巢周年变化的研究&lt;/Title&gt;&lt;Template&gt;Journal Article&lt;/Template&gt;&lt;Star&gt;0&lt;/Star&gt;&lt;Tag&gt;0&lt;/Tag&gt;&lt;Author&gt;龚启祥; 杜立勤&lt;/Author&gt;&lt;Year&gt;1988&lt;/Year&gt;&lt;Details&gt;&lt;_author_adr&gt;浙江水产学院_x000d__x000a__x000d__x000a__x000d__x000a__x000d__x000a__x000d__x000a__x000d__x000a__x000d__x000a__x000d__x000a_,浙江水产学院&lt;/_author_adr&gt;&lt;_collection_scope&gt;中国科技核心期刊;中文核心期刊;CSCD;&lt;/_collection_scope&gt;&lt;_created&gt;60526940&lt;/_created&gt;&lt;_db_provider&gt;CNKI&lt;/_db_provider&gt;&lt;_isbn&gt;1000-0615&lt;/_isbn&gt;&lt;_issue&gt;01&lt;/_issue&gt;&lt;_journal&gt;水产学报&lt;/_journal&gt;&lt;_keywords&gt;无针乌贼;周年变化;性腺发育;繁殖生物学;滤泡细胞;次级卵膜;繁殖习性;脂肪泡;黄渤海;金乌贼;&lt;/_keywords&gt;&lt;_modified&gt;62448421&lt;/_modified&gt;&lt;_pages&gt;57-62&lt;/_pages&gt;&lt;_translated_author&gt;Gong, Qixiang;Du, Liqin&lt;/_translated_author&gt;&lt;/Details&gt;&lt;Extra&gt;&lt;DBUID&gt;{83257D86-98D1-44DA-AA0E-D3472482B013}&lt;/DBUID&gt;&lt;/Extra&gt;&lt;/Item&gt;&lt;/References&gt;&lt;/Group&gt;&lt;Group&gt;&lt;References&gt;&lt;Item&gt;&lt;ID&gt;242&lt;/ID&gt;&lt;UID&gt;{0C575DE6-26D2-445E-BD2E-7C87F5765F28}&lt;/UID&gt;&lt;Title&gt;胶州湾及邻近水域曼氏无针乌贼的生长和季节分布&lt;/Title&gt;&lt;Template&gt;Journal Article&lt;/Template&gt;&lt;Star&gt;0&lt;/Star&gt;&lt;Tag&gt;0&lt;/Tag&gt;&lt;Author&gt;张宝琳; 孙道元; 毕洪生; 吴耀泉; 黄勃&lt;/Author&gt;&lt;Year&gt;1997&lt;/Year&gt;&lt;Details&gt;&lt;_author_adr&gt;中国科学院海洋研究所!青岛266071,中国科学院海洋研究所!青岛266071,中国科学院海洋研究所!青岛266071,中国科学院海洋研究所!青岛266071,中国科学院海洋研究所!青岛266071&lt;/_author_adr&gt;&lt;_created&gt;60615141&lt;/_created&gt;&lt;_db_provider&gt;CNKI&lt;/_db_provider&gt;&lt;_isbn&gt;1000-3096&lt;/_isbn&gt;&lt;_issue&gt;05&lt;/_issue&gt;&lt;_journal&gt;海洋科学&lt;/_journal&gt;&lt;_keywords&gt;曼氏无针乌贼;生长;季节分布&lt;/_keywords&gt;&lt;_modified&gt;62745019&lt;/_modified&gt;&lt;_pages&gt;61-64&lt;/_pages&gt;&lt;_collection_scope&gt;PKU&lt;/_collection_scope&gt;&lt;_translated_author&gt;Zhang, Baolin;Sun, Daoyuan;Bi, Hongsheng;Wu, Yaoquan;Huang, Bo&lt;/_translated_author&gt;&lt;/Details&gt;&lt;Extra&gt;&lt;DBUID&gt;{83257D86-98D1-44DA-AA0E-D3472482B013}&lt;/DBUID&gt;&lt;/Extra&gt;&lt;/Item&gt;&lt;/References&gt;&lt;/Group&gt;&lt;/Citation&gt;_x000a_"/>
    <w:docVar w:name="ne_docsoft" w:val="MSWord"/>
    <w:docVar w:name="ne_docversion" w:val="NoteExpress 2.0"/>
    <w:docVar w:name="ne_stylename" w:val="海洋与湖沼"/>
  </w:docVars>
  <w:rsids>
    <w:rsidRoot w:val="004236E9"/>
    <w:rsid w:val="0000077D"/>
    <w:rsid w:val="00000B66"/>
    <w:rsid w:val="00001E6B"/>
    <w:rsid w:val="00002170"/>
    <w:rsid w:val="0000344D"/>
    <w:rsid w:val="0000470A"/>
    <w:rsid w:val="000052AB"/>
    <w:rsid w:val="0000580A"/>
    <w:rsid w:val="00007920"/>
    <w:rsid w:val="00010466"/>
    <w:rsid w:val="00010BDB"/>
    <w:rsid w:val="00010DB9"/>
    <w:rsid w:val="00010FAA"/>
    <w:rsid w:val="0001518A"/>
    <w:rsid w:val="00015AB4"/>
    <w:rsid w:val="00015CC1"/>
    <w:rsid w:val="000165FD"/>
    <w:rsid w:val="00017DA3"/>
    <w:rsid w:val="0002022B"/>
    <w:rsid w:val="000202CC"/>
    <w:rsid w:val="00020B18"/>
    <w:rsid w:val="0002110A"/>
    <w:rsid w:val="00023B5B"/>
    <w:rsid w:val="00023F96"/>
    <w:rsid w:val="000240DA"/>
    <w:rsid w:val="0002484E"/>
    <w:rsid w:val="00024E66"/>
    <w:rsid w:val="00030028"/>
    <w:rsid w:val="00031BE8"/>
    <w:rsid w:val="000320A3"/>
    <w:rsid w:val="00032463"/>
    <w:rsid w:val="00032FE3"/>
    <w:rsid w:val="00033E6C"/>
    <w:rsid w:val="0003447C"/>
    <w:rsid w:val="00037112"/>
    <w:rsid w:val="00037CDF"/>
    <w:rsid w:val="00041949"/>
    <w:rsid w:val="000436A2"/>
    <w:rsid w:val="00043CC3"/>
    <w:rsid w:val="00043FA5"/>
    <w:rsid w:val="00044970"/>
    <w:rsid w:val="00046812"/>
    <w:rsid w:val="000471A3"/>
    <w:rsid w:val="00051729"/>
    <w:rsid w:val="00052170"/>
    <w:rsid w:val="00052F0B"/>
    <w:rsid w:val="0005737D"/>
    <w:rsid w:val="00060359"/>
    <w:rsid w:val="00063336"/>
    <w:rsid w:val="00064457"/>
    <w:rsid w:val="00065AA3"/>
    <w:rsid w:val="000676BB"/>
    <w:rsid w:val="000678E1"/>
    <w:rsid w:val="00070DB7"/>
    <w:rsid w:val="00071E9E"/>
    <w:rsid w:val="0007256C"/>
    <w:rsid w:val="00072827"/>
    <w:rsid w:val="00081807"/>
    <w:rsid w:val="0008243B"/>
    <w:rsid w:val="0008271D"/>
    <w:rsid w:val="00083A71"/>
    <w:rsid w:val="00084336"/>
    <w:rsid w:val="00087BDB"/>
    <w:rsid w:val="000905D7"/>
    <w:rsid w:val="00090DE5"/>
    <w:rsid w:val="00092D98"/>
    <w:rsid w:val="000963DD"/>
    <w:rsid w:val="000979B1"/>
    <w:rsid w:val="000A0DFC"/>
    <w:rsid w:val="000A212E"/>
    <w:rsid w:val="000A6836"/>
    <w:rsid w:val="000A6F00"/>
    <w:rsid w:val="000A780A"/>
    <w:rsid w:val="000A7E96"/>
    <w:rsid w:val="000B1628"/>
    <w:rsid w:val="000B3584"/>
    <w:rsid w:val="000B564C"/>
    <w:rsid w:val="000B5791"/>
    <w:rsid w:val="000B6DA3"/>
    <w:rsid w:val="000B787F"/>
    <w:rsid w:val="000B7C5A"/>
    <w:rsid w:val="000C0591"/>
    <w:rsid w:val="000C07A4"/>
    <w:rsid w:val="000C1705"/>
    <w:rsid w:val="000C2238"/>
    <w:rsid w:val="000C245A"/>
    <w:rsid w:val="000C26AA"/>
    <w:rsid w:val="000C3C22"/>
    <w:rsid w:val="000D095F"/>
    <w:rsid w:val="000D1D62"/>
    <w:rsid w:val="000D2287"/>
    <w:rsid w:val="000D271C"/>
    <w:rsid w:val="000D272F"/>
    <w:rsid w:val="000D4F12"/>
    <w:rsid w:val="000D5ACD"/>
    <w:rsid w:val="000D61C8"/>
    <w:rsid w:val="000D6815"/>
    <w:rsid w:val="000E0C8B"/>
    <w:rsid w:val="000E3BE6"/>
    <w:rsid w:val="000E40E6"/>
    <w:rsid w:val="000E436E"/>
    <w:rsid w:val="000E4B95"/>
    <w:rsid w:val="000E54CF"/>
    <w:rsid w:val="000E5C0A"/>
    <w:rsid w:val="000E70FD"/>
    <w:rsid w:val="000F77F7"/>
    <w:rsid w:val="00100744"/>
    <w:rsid w:val="00102C91"/>
    <w:rsid w:val="0010455E"/>
    <w:rsid w:val="0010477F"/>
    <w:rsid w:val="001061B3"/>
    <w:rsid w:val="00106762"/>
    <w:rsid w:val="00107CDE"/>
    <w:rsid w:val="0011085E"/>
    <w:rsid w:val="00110D22"/>
    <w:rsid w:val="00110F7C"/>
    <w:rsid w:val="00111682"/>
    <w:rsid w:val="00111EF8"/>
    <w:rsid w:val="00114094"/>
    <w:rsid w:val="00115359"/>
    <w:rsid w:val="00115780"/>
    <w:rsid w:val="001170F1"/>
    <w:rsid w:val="001175A7"/>
    <w:rsid w:val="00117E72"/>
    <w:rsid w:val="001245BA"/>
    <w:rsid w:val="001260B4"/>
    <w:rsid w:val="00126174"/>
    <w:rsid w:val="001261B8"/>
    <w:rsid w:val="001268D3"/>
    <w:rsid w:val="0013124B"/>
    <w:rsid w:val="00132599"/>
    <w:rsid w:val="0013309B"/>
    <w:rsid w:val="00133FBC"/>
    <w:rsid w:val="00137A26"/>
    <w:rsid w:val="001406A5"/>
    <w:rsid w:val="00141F53"/>
    <w:rsid w:val="00142473"/>
    <w:rsid w:val="00142BB0"/>
    <w:rsid w:val="00144BB7"/>
    <w:rsid w:val="0014609F"/>
    <w:rsid w:val="001464D8"/>
    <w:rsid w:val="001469FA"/>
    <w:rsid w:val="00146B69"/>
    <w:rsid w:val="00147353"/>
    <w:rsid w:val="00147E15"/>
    <w:rsid w:val="00151D3F"/>
    <w:rsid w:val="00153619"/>
    <w:rsid w:val="001537BF"/>
    <w:rsid w:val="00155F03"/>
    <w:rsid w:val="00157E53"/>
    <w:rsid w:val="00157F8E"/>
    <w:rsid w:val="00160CC4"/>
    <w:rsid w:val="001618B7"/>
    <w:rsid w:val="00161FD7"/>
    <w:rsid w:val="00162C5B"/>
    <w:rsid w:val="00163B9F"/>
    <w:rsid w:val="00164004"/>
    <w:rsid w:val="001649EF"/>
    <w:rsid w:val="00166FFB"/>
    <w:rsid w:val="00167568"/>
    <w:rsid w:val="0017061C"/>
    <w:rsid w:val="00172E51"/>
    <w:rsid w:val="00173472"/>
    <w:rsid w:val="00176176"/>
    <w:rsid w:val="00180428"/>
    <w:rsid w:val="00180ABC"/>
    <w:rsid w:val="0018116B"/>
    <w:rsid w:val="001814F1"/>
    <w:rsid w:val="00182958"/>
    <w:rsid w:val="00182F69"/>
    <w:rsid w:val="00184155"/>
    <w:rsid w:val="001843D2"/>
    <w:rsid w:val="0018576B"/>
    <w:rsid w:val="00185834"/>
    <w:rsid w:val="00185AA2"/>
    <w:rsid w:val="001861F9"/>
    <w:rsid w:val="0018640F"/>
    <w:rsid w:val="0018767F"/>
    <w:rsid w:val="00187F5D"/>
    <w:rsid w:val="001913EE"/>
    <w:rsid w:val="00192F24"/>
    <w:rsid w:val="00194E67"/>
    <w:rsid w:val="00195504"/>
    <w:rsid w:val="001959EA"/>
    <w:rsid w:val="001A08B1"/>
    <w:rsid w:val="001A2765"/>
    <w:rsid w:val="001A3324"/>
    <w:rsid w:val="001A40BB"/>
    <w:rsid w:val="001A67BD"/>
    <w:rsid w:val="001A67C1"/>
    <w:rsid w:val="001B04DC"/>
    <w:rsid w:val="001B22C8"/>
    <w:rsid w:val="001B2927"/>
    <w:rsid w:val="001B3491"/>
    <w:rsid w:val="001B40D3"/>
    <w:rsid w:val="001B572E"/>
    <w:rsid w:val="001B6461"/>
    <w:rsid w:val="001B7523"/>
    <w:rsid w:val="001B76FA"/>
    <w:rsid w:val="001C1919"/>
    <w:rsid w:val="001C32D4"/>
    <w:rsid w:val="001C3540"/>
    <w:rsid w:val="001C4200"/>
    <w:rsid w:val="001C44BC"/>
    <w:rsid w:val="001C5417"/>
    <w:rsid w:val="001D0DAB"/>
    <w:rsid w:val="001D1482"/>
    <w:rsid w:val="001D1968"/>
    <w:rsid w:val="001D2068"/>
    <w:rsid w:val="001D2C1B"/>
    <w:rsid w:val="001D3EB9"/>
    <w:rsid w:val="001D3FFA"/>
    <w:rsid w:val="001D59E0"/>
    <w:rsid w:val="001E08C6"/>
    <w:rsid w:val="001E1298"/>
    <w:rsid w:val="001E22A3"/>
    <w:rsid w:val="001E3EC3"/>
    <w:rsid w:val="001E4B8D"/>
    <w:rsid w:val="001E6C55"/>
    <w:rsid w:val="001E6DBC"/>
    <w:rsid w:val="001E728C"/>
    <w:rsid w:val="001F4676"/>
    <w:rsid w:val="001F59F1"/>
    <w:rsid w:val="001F5BD5"/>
    <w:rsid w:val="00200218"/>
    <w:rsid w:val="00200B4F"/>
    <w:rsid w:val="00201F21"/>
    <w:rsid w:val="00202348"/>
    <w:rsid w:val="0020254F"/>
    <w:rsid w:val="002026F2"/>
    <w:rsid w:val="0020674F"/>
    <w:rsid w:val="00206BE2"/>
    <w:rsid w:val="00207D67"/>
    <w:rsid w:val="002109E9"/>
    <w:rsid w:val="0021230E"/>
    <w:rsid w:val="00212FB7"/>
    <w:rsid w:val="00213977"/>
    <w:rsid w:val="00213979"/>
    <w:rsid w:val="00214272"/>
    <w:rsid w:val="00215F08"/>
    <w:rsid w:val="0021608F"/>
    <w:rsid w:val="002177D4"/>
    <w:rsid w:val="0022001E"/>
    <w:rsid w:val="002213AA"/>
    <w:rsid w:val="00226546"/>
    <w:rsid w:val="00230997"/>
    <w:rsid w:val="0023104C"/>
    <w:rsid w:val="00231573"/>
    <w:rsid w:val="00231855"/>
    <w:rsid w:val="00231A41"/>
    <w:rsid w:val="00232006"/>
    <w:rsid w:val="00232194"/>
    <w:rsid w:val="002330BF"/>
    <w:rsid w:val="00233255"/>
    <w:rsid w:val="00233A04"/>
    <w:rsid w:val="002345EE"/>
    <w:rsid w:val="002349E3"/>
    <w:rsid w:val="002353D9"/>
    <w:rsid w:val="00235DB7"/>
    <w:rsid w:val="00235F8F"/>
    <w:rsid w:val="00236A68"/>
    <w:rsid w:val="00237212"/>
    <w:rsid w:val="00237A1A"/>
    <w:rsid w:val="0024004E"/>
    <w:rsid w:val="0024038B"/>
    <w:rsid w:val="00240EED"/>
    <w:rsid w:val="002415E9"/>
    <w:rsid w:val="00241B23"/>
    <w:rsid w:val="00242AC9"/>
    <w:rsid w:val="00243273"/>
    <w:rsid w:val="0024338E"/>
    <w:rsid w:val="00243A49"/>
    <w:rsid w:val="002473F7"/>
    <w:rsid w:val="00247DDE"/>
    <w:rsid w:val="0025095D"/>
    <w:rsid w:val="00253165"/>
    <w:rsid w:val="0025323C"/>
    <w:rsid w:val="00253E44"/>
    <w:rsid w:val="0025446C"/>
    <w:rsid w:val="00254B84"/>
    <w:rsid w:val="00254DA0"/>
    <w:rsid w:val="00255037"/>
    <w:rsid w:val="0025691C"/>
    <w:rsid w:val="00256C87"/>
    <w:rsid w:val="0025737E"/>
    <w:rsid w:val="00257510"/>
    <w:rsid w:val="0026078F"/>
    <w:rsid w:val="002610FB"/>
    <w:rsid w:val="00261587"/>
    <w:rsid w:val="00261FC1"/>
    <w:rsid w:val="0026237C"/>
    <w:rsid w:val="00262C19"/>
    <w:rsid w:val="002649D2"/>
    <w:rsid w:val="0026572E"/>
    <w:rsid w:val="00265F4A"/>
    <w:rsid w:val="002669EA"/>
    <w:rsid w:val="00266D03"/>
    <w:rsid w:val="002725D8"/>
    <w:rsid w:val="00272F82"/>
    <w:rsid w:val="002752C1"/>
    <w:rsid w:val="00276920"/>
    <w:rsid w:val="00276AF4"/>
    <w:rsid w:val="0028197F"/>
    <w:rsid w:val="00283603"/>
    <w:rsid w:val="0028458F"/>
    <w:rsid w:val="002846F0"/>
    <w:rsid w:val="00284DC4"/>
    <w:rsid w:val="0028535E"/>
    <w:rsid w:val="00286533"/>
    <w:rsid w:val="00287818"/>
    <w:rsid w:val="00291BA2"/>
    <w:rsid w:val="00292C36"/>
    <w:rsid w:val="0029408B"/>
    <w:rsid w:val="00295847"/>
    <w:rsid w:val="00296D29"/>
    <w:rsid w:val="00297C91"/>
    <w:rsid w:val="002A0724"/>
    <w:rsid w:val="002A12E0"/>
    <w:rsid w:val="002A18B0"/>
    <w:rsid w:val="002A1BC4"/>
    <w:rsid w:val="002A2387"/>
    <w:rsid w:val="002A2411"/>
    <w:rsid w:val="002A3557"/>
    <w:rsid w:val="002A387D"/>
    <w:rsid w:val="002A3E40"/>
    <w:rsid w:val="002A610B"/>
    <w:rsid w:val="002A696D"/>
    <w:rsid w:val="002B06CE"/>
    <w:rsid w:val="002B10CD"/>
    <w:rsid w:val="002B117F"/>
    <w:rsid w:val="002B204D"/>
    <w:rsid w:val="002B2510"/>
    <w:rsid w:val="002B48EA"/>
    <w:rsid w:val="002B49C0"/>
    <w:rsid w:val="002B500F"/>
    <w:rsid w:val="002B6570"/>
    <w:rsid w:val="002B747D"/>
    <w:rsid w:val="002C16F2"/>
    <w:rsid w:val="002C3955"/>
    <w:rsid w:val="002C48B4"/>
    <w:rsid w:val="002C5502"/>
    <w:rsid w:val="002C5AB5"/>
    <w:rsid w:val="002C6532"/>
    <w:rsid w:val="002C6E82"/>
    <w:rsid w:val="002D1599"/>
    <w:rsid w:val="002D1EE5"/>
    <w:rsid w:val="002D20A9"/>
    <w:rsid w:val="002D4630"/>
    <w:rsid w:val="002D48F1"/>
    <w:rsid w:val="002D5869"/>
    <w:rsid w:val="002D5DB3"/>
    <w:rsid w:val="002D71B2"/>
    <w:rsid w:val="002D7A49"/>
    <w:rsid w:val="002E0024"/>
    <w:rsid w:val="002E009F"/>
    <w:rsid w:val="002E0A3B"/>
    <w:rsid w:val="002E0F42"/>
    <w:rsid w:val="002E1549"/>
    <w:rsid w:val="002E2AB2"/>
    <w:rsid w:val="002E3480"/>
    <w:rsid w:val="002E4F57"/>
    <w:rsid w:val="002E5874"/>
    <w:rsid w:val="002E5E5C"/>
    <w:rsid w:val="002E70B4"/>
    <w:rsid w:val="002E7C27"/>
    <w:rsid w:val="002F394D"/>
    <w:rsid w:val="0030142D"/>
    <w:rsid w:val="00301C92"/>
    <w:rsid w:val="003048DB"/>
    <w:rsid w:val="003061D0"/>
    <w:rsid w:val="0030683B"/>
    <w:rsid w:val="003079EF"/>
    <w:rsid w:val="003100C2"/>
    <w:rsid w:val="003113D5"/>
    <w:rsid w:val="0031239C"/>
    <w:rsid w:val="00315D02"/>
    <w:rsid w:val="00316A72"/>
    <w:rsid w:val="00317639"/>
    <w:rsid w:val="00320C80"/>
    <w:rsid w:val="003234E2"/>
    <w:rsid w:val="003244F7"/>
    <w:rsid w:val="00324F20"/>
    <w:rsid w:val="00325C1F"/>
    <w:rsid w:val="003307C9"/>
    <w:rsid w:val="00331BA1"/>
    <w:rsid w:val="0033211F"/>
    <w:rsid w:val="003321FD"/>
    <w:rsid w:val="00333443"/>
    <w:rsid w:val="00334060"/>
    <w:rsid w:val="00334B73"/>
    <w:rsid w:val="00335A1B"/>
    <w:rsid w:val="00335AC9"/>
    <w:rsid w:val="00336F20"/>
    <w:rsid w:val="003373F6"/>
    <w:rsid w:val="00342419"/>
    <w:rsid w:val="00343C83"/>
    <w:rsid w:val="00343E41"/>
    <w:rsid w:val="00344D7F"/>
    <w:rsid w:val="0034518E"/>
    <w:rsid w:val="00345D48"/>
    <w:rsid w:val="003505FE"/>
    <w:rsid w:val="0035135C"/>
    <w:rsid w:val="00352290"/>
    <w:rsid w:val="00352A11"/>
    <w:rsid w:val="00352E63"/>
    <w:rsid w:val="003540C6"/>
    <w:rsid w:val="00354847"/>
    <w:rsid w:val="003575EE"/>
    <w:rsid w:val="003619A1"/>
    <w:rsid w:val="003621F9"/>
    <w:rsid w:val="00363AF0"/>
    <w:rsid w:val="003641D5"/>
    <w:rsid w:val="003655D9"/>
    <w:rsid w:val="00365B66"/>
    <w:rsid w:val="00366108"/>
    <w:rsid w:val="00371428"/>
    <w:rsid w:val="00371A33"/>
    <w:rsid w:val="00371FBD"/>
    <w:rsid w:val="003725A3"/>
    <w:rsid w:val="003738DC"/>
    <w:rsid w:val="003744B1"/>
    <w:rsid w:val="0038135A"/>
    <w:rsid w:val="00382423"/>
    <w:rsid w:val="0038441C"/>
    <w:rsid w:val="00393E22"/>
    <w:rsid w:val="00396E9E"/>
    <w:rsid w:val="003A031F"/>
    <w:rsid w:val="003A1237"/>
    <w:rsid w:val="003A207E"/>
    <w:rsid w:val="003A32F8"/>
    <w:rsid w:val="003A6367"/>
    <w:rsid w:val="003A7B4D"/>
    <w:rsid w:val="003B3647"/>
    <w:rsid w:val="003B7412"/>
    <w:rsid w:val="003B7880"/>
    <w:rsid w:val="003C0033"/>
    <w:rsid w:val="003C017F"/>
    <w:rsid w:val="003C1AFC"/>
    <w:rsid w:val="003C1CF2"/>
    <w:rsid w:val="003C22A4"/>
    <w:rsid w:val="003C25AA"/>
    <w:rsid w:val="003C4E80"/>
    <w:rsid w:val="003C7697"/>
    <w:rsid w:val="003C7AF5"/>
    <w:rsid w:val="003D294A"/>
    <w:rsid w:val="003D30E7"/>
    <w:rsid w:val="003E033D"/>
    <w:rsid w:val="003E0E16"/>
    <w:rsid w:val="003E1488"/>
    <w:rsid w:val="003E2ABE"/>
    <w:rsid w:val="003E3739"/>
    <w:rsid w:val="003E6EEB"/>
    <w:rsid w:val="003E76C8"/>
    <w:rsid w:val="003E7A07"/>
    <w:rsid w:val="003F034E"/>
    <w:rsid w:val="003F0F2D"/>
    <w:rsid w:val="003F1491"/>
    <w:rsid w:val="003F2556"/>
    <w:rsid w:val="003F4E00"/>
    <w:rsid w:val="003F5C61"/>
    <w:rsid w:val="003F601C"/>
    <w:rsid w:val="003F79A2"/>
    <w:rsid w:val="003F79FD"/>
    <w:rsid w:val="003F7FA1"/>
    <w:rsid w:val="00400904"/>
    <w:rsid w:val="0040231B"/>
    <w:rsid w:val="00402C95"/>
    <w:rsid w:val="004068D4"/>
    <w:rsid w:val="00410C5B"/>
    <w:rsid w:val="00410D30"/>
    <w:rsid w:val="00410FCE"/>
    <w:rsid w:val="00411522"/>
    <w:rsid w:val="004122C4"/>
    <w:rsid w:val="0041249F"/>
    <w:rsid w:val="0041406F"/>
    <w:rsid w:val="00414334"/>
    <w:rsid w:val="004153A4"/>
    <w:rsid w:val="004157AD"/>
    <w:rsid w:val="00415EDD"/>
    <w:rsid w:val="00416B5C"/>
    <w:rsid w:val="00417D70"/>
    <w:rsid w:val="004223CD"/>
    <w:rsid w:val="00422F1E"/>
    <w:rsid w:val="004236E9"/>
    <w:rsid w:val="0042490C"/>
    <w:rsid w:val="00424CA9"/>
    <w:rsid w:val="00425EFD"/>
    <w:rsid w:val="00426365"/>
    <w:rsid w:val="00430595"/>
    <w:rsid w:val="004326AE"/>
    <w:rsid w:val="00432FB2"/>
    <w:rsid w:val="0043381E"/>
    <w:rsid w:val="00433841"/>
    <w:rsid w:val="004347C3"/>
    <w:rsid w:val="0043572E"/>
    <w:rsid w:val="00435AA2"/>
    <w:rsid w:val="00437D1A"/>
    <w:rsid w:val="00437D36"/>
    <w:rsid w:val="0044023C"/>
    <w:rsid w:val="0044074A"/>
    <w:rsid w:val="004410B9"/>
    <w:rsid w:val="004453ED"/>
    <w:rsid w:val="004454CF"/>
    <w:rsid w:val="0044603B"/>
    <w:rsid w:val="00447095"/>
    <w:rsid w:val="004476C6"/>
    <w:rsid w:val="00447D7D"/>
    <w:rsid w:val="00451180"/>
    <w:rsid w:val="00451246"/>
    <w:rsid w:val="00451F9B"/>
    <w:rsid w:val="004525A2"/>
    <w:rsid w:val="00452844"/>
    <w:rsid w:val="00454347"/>
    <w:rsid w:val="004544F1"/>
    <w:rsid w:val="004547E0"/>
    <w:rsid w:val="004617FB"/>
    <w:rsid w:val="00461FC7"/>
    <w:rsid w:val="004623B5"/>
    <w:rsid w:val="0046270D"/>
    <w:rsid w:val="00462B85"/>
    <w:rsid w:val="00462F2E"/>
    <w:rsid w:val="004635B9"/>
    <w:rsid w:val="004636D5"/>
    <w:rsid w:val="00464470"/>
    <w:rsid w:val="004657BB"/>
    <w:rsid w:val="00466C4B"/>
    <w:rsid w:val="00467873"/>
    <w:rsid w:val="00470EF1"/>
    <w:rsid w:val="0047150F"/>
    <w:rsid w:val="0047263C"/>
    <w:rsid w:val="00473AE9"/>
    <w:rsid w:val="00474620"/>
    <w:rsid w:val="00480626"/>
    <w:rsid w:val="00480DE2"/>
    <w:rsid w:val="00480FF3"/>
    <w:rsid w:val="004813CF"/>
    <w:rsid w:val="0048178F"/>
    <w:rsid w:val="00481CFB"/>
    <w:rsid w:val="00484655"/>
    <w:rsid w:val="004853CC"/>
    <w:rsid w:val="00485DE7"/>
    <w:rsid w:val="0048677F"/>
    <w:rsid w:val="00487748"/>
    <w:rsid w:val="00487B73"/>
    <w:rsid w:val="00490609"/>
    <w:rsid w:val="00491766"/>
    <w:rsid w:val="0049596C"/>
    <w:rsid w:val="00495FFA"/>
    <w:rsid w:val="00496CD6"/>
    <w:rsid w:val="004A07C4"/>
    <w:rsid w:val="004A1D17"/>
    <w:rsid w:val="004A2F4B"/>
    <w:rsid w:val="004A3675"/>
    <w:rsid w:val="004A467E"/>
    <w:rsid w:val="004A4CF1"/>
    <w:rsid w:val="004A5599"/>
    <w:rsid w:val="004A60FE"/>
    <w:rsid w:val="004A6A98"/>
    <w:rsid w:val="004B0238"/>
    <w:rsid w:val="004B0B04"/>
    <w:rsid w:val="004B197A"/>
    <w:rsid w:val="004B3460"/>
    <w:rsid w:val="004B4060"/>
    <w:rsid w:val="004B41AD"/>
    <w:rsid w:val="004B74E2"/>
    <w:rsid w:val="004C1393"/>
    <w:rsid w:val="004C24F2"/>
    <w:rsid w:val="004C25C2"/>
    <w:rsid w:val="004C3AB2"/>
    <w:rsid w:val="004C5263"/>
    <w:rsid w:val="004C607E"/>
    <w:rsid w:val="004D108A"/>
    <w:rsid w:val="004D20F1"/>
    <w:rsid w:val="004D2816"/>
    <w:rsid w:val="004D4C9E"/>
    <w:rsid w:val="004D6EC8"/>
    <w:rsid w:val="004E11D7"/>
    <w:rsid w:val="004E1279"/>
    <w:rsid w:val="004E2EFA"/>
    <w:rsid w:val="004E326E"/>
    <w:rsid w:val="004E371D"/>
    <w:rsid w:val="004E4630"/>
    <w:rsid w:val="004E59EE"/>
    <w:rsid w:val="004E5A42"/>
    <w:rsid w:val="004E660D"/>
    <w:rsid w:val="004E6D3C"/>
    <w:rsid w:val="004E723C"/>
    <w:rsid w:val="004E77FB"/>
    <w:rsid w:val="004E7B21"/>
    <w:rsid w:val="004F115E"/>
    <w:rsid w:val="004F15B4"/>
    <w:rsid w:val="004F3FA9"/>
    <w:rsid w:val="004F502E"/>
    <w:rsid w:val="004F526B"/>
    <w:rsid w:val="004F5695"/>
    <w:rsid w:val="004F5F24"/>
    <w:rsid w:val="005023C3"/>
    <w:rsid w:val="00502A87"/>
    <w:rsid w:val="00504204"/>
    <w:rsid w:val="005050CC"/>
    <w:rsid w:val="005065B5"/>
    <w:rsid w:val="005117EA"/>
    <w:rsid w:val="00511FEB"/>
    <w:rsid w:val="005123C2"/>
    <w:rsid w:val="00512688"/>
    <w:rsid w:val="00516896"/>
    <w:rsid w:val="0051691D"/>
    <w:rsid w:val="005203EC"/>
    <w:rsid w:val="005245B0"/>
    <w:rsid w:val="00524C5E"/>
    <w:rsid w:val="00524E07"/>
    <w:rsid w:val="0052788A"/>
    <w:rsid w:val="00527B6C"/>
    <w:rsid w:val="00527EA8"/>
    <w:rsid w:val="005312E7"/>
    <w:rsid w:val="00534419"/>
    <w:rsid w:val="00534707"/>
    <w:rsid w:val="0053606F"/>
    <w:rsid w:val="005377D3"/>
    <w:rsid w:val="005404A8"/>
    <w:rsid w:val="00540C62"/>
    <w:rsid w:val="005422F8"/>
    <w:rsid w:val="0054317B"/>
    <w:rsid w:val="00543464"/>
    <w:rsid w:val="0054491C"/>
    <w:rsid w:val="00546F42"/>
    <w:rsid w:val="00550092"/>
    <w:rsid w:val="00550328"/>
    <w:rsid w:val="005505A0"/>
    <w:rsid w:val="0055092F"/>
    <w:rsid w:val="00550ACD"/>
    <w:rsid w:val="00554E9B"/>
    <w:rsid w:val="00555400"/>
    <w:rsid w:val="0055771B"/>
    <w:rsid w:val="00560415"/>
    <w:rsid w:val="00562736"/>
    <w:rsid w:val="00564AEF"/>
    <w:rsid w:val="005651CD"/>
    <w:rsid w:val="00565F8F"/>
    <w:rsid w:val="005664E2"/>
    <w:rsid w:val="0056717F"/>
    <w:rsid w:val="005675F8"/>
    <w:rsid w:val="0056771C"/>
    <w:rsid w:val="00572BA9"/>
    <w:rsid w:val="0057350B"/>
    <w:rsid w:val="00573E5B"/>
    <w:rsid w:val="00575ABA"/>
    <w:rsid w:val="005762EC"/>
    <w:rsid w:val="005802CE"/>
    <w:rsid w:val="00580393"/>
    <w:rsid w:val="00580892"/>
    <w:rsid w:val="0058237E"/>
    <w:rsid w:val="00582769"/>
    <w:rsid w:val="00584B8D"/>
    <w:rsid w:val="0058568B"/>
    <w:rsid w:val="00585B5B"/>
    <w:rsid w:val="00586B96"/>
    <w:rsid w:val="0058718C"/>
    <w:rsid w:val="00587BC5"/>
    <w:rsid w:val="00587C8D"/>
    <w:rsid w:val="00587CB0"/>
    <w:rsid w:val="00587D80"/>
    <w:rsid w:val="00587E4F"/>
    <w:rsid w:val="005901FD"/>
    <w:rsid w:val="005906D5"/>
    <w:rsid w:val="00590F6A"/>
    <w:rsid w:val="0059125A"/>
    <w:rsid w:val="00594F03"/>
    <w:rsid w:val="00594F77"/>
    <w:rsid w:val="00595244"/>
    <w:rsid w:val="00595AA4"/>
    <w:rsid w:val="00596E37"/>
    <w:rsid w:val="005A017B"/>
    <w:rsid w:val="005A3ACC"/>
    <w:rsid w:val="005A583E"/>
    <w:rsid w:val="005A7112"/>
    <w:rsid w:val="005B18DA"/>
    <w:rsid w:val="005B3949"/>
    <w:rsid w:val="005B4AD2"/>
    <w:rsid w:val="005B5250"/>
    <w:rsid w:val="005B697F"/>
    <w:rsid w:val="005C0C8E"/>
    <w:rsid w:val="005C1D95"/>
    <w:rsid w:val="005C21F4"/>
    <w:rsid w:val="005C297D"/>
    <w:rsid w:val="005C3B6C"/>
    <w:rsid w:val="005C5934"/>
    <w:rsid w:val="005C5AB1"/>
    <w:rsid w:val="005C62E7"/>
    <w:rsid w:val="005C6F61"/>
    <w:rsid w:val="005D14C9"/>
    <w:rsid w:val="005D182E"/>
    <w:rsid w:val="005D26BE"/>
    <w:rsid w:val="005D2729"/>
    <w:rsid w:val="005D3AE1"/>
    <w:rsid w:val="005D45C3"/>
    <w:rsid w:val="005D503D"/>
    <w:rsid w:val="005D514D"/>
    <w:rsid w:val="005D781C"/>
    <w:rsid w:val="005E1B1C"/>
    <w:rsid w:val="005E2BFE"/>
    <w:rsid w:val="005E2CEA"/>
    <w:rsid w:val="005E7689"/>
    <w:rsid w:val="005F01ED"/>
    <w:rsid w:val="005F05A5"/>
    <w:rsid w:val="005F0AA0"/>
    <w:rsid w:val="005F0E9A"/>
    <w:rsid w:val="005F5C4C"/>
    <w:rsid w:val="005F5CA0"/>
    <w:rsid w:val="005F5E7C"/>
    <w:rsid w:val="005F6FFF"/>
    <w:rsid w:val="005F761E"/>
    <w:rsid w:val="0060397A"/>
    <w:rsid w:val="006074FB"/>
    <w:rsid w:val="00607C0D"/>
    <w:rsid w:val="00610652"/>
    <w:rsid w:val="00611249"/>
    <w:rsid w:val="00612562"/>
    <w:rsid w:val="006134F3"/>
    <w:rsid w:val="00614646"/>
    <w:rsid w:val="006148D3"/>
    <w:rsid w:val="006154FD"/>
    <w:rsid w:val="006156AC"/>
    <w:rsid w:val="006164B2"/>
    <w:rsid w:val="00616513"/>
    <w:rsid w:val="00616D76"/>
    <w:rsid w:val="006176C0"/>
    <w:rsid w:val="00621A40"/>
    <w:rsid w:val="00621A42"/>
    <w:rsid w:val="0062284E"/>
    <w:rsid w:val="00623615"/>
    <w:rsid w:val="00625D4A"/>
    <w:rsid w:val="00625F7A"/>
    <w:rsid w:val="006271BB"/>
    <w:rsid w:val="00627F25"/>
    <w:rsid w:val="00630974"/>
    <w:rsid w:val="00630CE7"/>
    <w:rsid w:val="0063173D"/>
    <w:rsid w:val="006327A9"/>
    <w:rsid w:val="00632A16"/>
    <w:rsid w:val="00634AA4"/>
    <w:rsid w:val="006371F4"/>
    <w:rsid w:val="00637F72"/>
    <w:rsid w:val="006409D9"/>
    <w:rsid w:val="006410EE"/>
    <w:rsid w:val="00641CA7"/>
    <w:rsid w:val="0064480A"/>
    <w:rsid w:val="0064591B"/>
    <w:rsid w:val="00645F07"/>
    <w:rsid w:val="00647358"/>
    <w:rsid w:val="00647499"/>
    <w:rsid w:val="00647E25"/>
    <w:rsid w:val="00650136"/>
    <w:rsid w:val="00651262"/>
    <w:rsid w:val="00652CA2"/>
    <w:rsid w:val="0065376A"/>
    <w:rsid w:val="00655034"/>
    <w:rsid w:val="006579AB"/>
    <w:rsid w:val="006609DE"/>
    <w:rsid w:val="00664420"/>
    <w:rsid w:val="00665FA6"/>
    <w:rsid w:val="006676D7"/>
    <w:rsid w:val="00670072"/>
    <w:rsid w:val="006706A6"/>
    <w:rsid w:val="00670EBF"/>
    <w:rsid w:val="00674849"/>
    <w:rsid w:val="0067589A"/>
    <w:rsid w:val="0067773D"/>
    <w:rsid w:val="00677F0F"/>
    <w:rsid w:val="006812E7"/>
    <w:rsid w:val="00683C93"/>
    <w:rsid w:val="00685FDA"/>
    <w:rsid w:val="00687C9E"/>
    <w:rsid w:val="006928E7"/>
    <w:rsid w:val="006931A0"/>
    <w:rsid w:val="006931E8"/>
    <w:rsid w:val="00693F1C"/>
    <w:rsid w:val="006941DF"/>
    <w:rsid w:val="006948E9"/>
    <w:rsid w:val="0069598C"/>
    <w:rsid w:val="00695C37"/>
    <w:rsid w:val="006A13B5"/>
    <w:rsid w:val="006A2866"/>
    <w:rsid w:val="006A65B0"/>
    <w:rsid w:val="006A6A78"/>
    <w:rsid w:val="006B0732"/>
    <w:rsid w:val="006B144A"/>
    <w:rsid w:val="006B2A61"/>
    <w:rsid w:val="006B3720"/>
    <w:rsid w:val="006B4A13"/>
    <w:rsid w:val="006B4DB4"/>
    <w:rsid w:val="006B5421"/>
    <w:rsid w:val="006B572F"/>
    <w:rsid w:val="006B5B09"/>
    <w:rsid w:val="006B7075"/>
    <w:rsid w:val="006B78F5"/>
    <w:rsid w:val="006C1009"/>
    <w:rsid w:val="006C10DA"/>
    <w:rsid w:val="006C26D2"/>
    <w:rsid w:val="006C5380"/>
    <w:rsid w:val="006D0714"/>
    <w:rsid w:val="006D2305"/>
    <w:rsid w:val="006D29E4"/>
    <w:rsid w:val="006D2CFE"/>
    <w:rsid w:val="006D4528"/>
    <w:rsid w:val="006D51CA"/>
    <w:rsid w:val="006D60D7"/>
    <w:rsid w:val="006D7021"/>
    <w:rsid w:val="006D7391"/>
    <w:rsid w:val="006E04D4"/>
    <w:rsid w:val="006E0E54"/>
    <w:rsid w:val="006E130C"/>
    <w:rsid w:val="006E18CF"/>
    <w:rsid w:val="006E1F66"/>
    <w:rsid w:val="006E2AC2"/>
    <w:rsid w:val="006E3528"/>
    <w:rsid w:val="006E3E76"/>
    <w:rsid w:val="006E3EA2"/>
    <w:rsid w:val="006E55A8"/>
    <w:rsid w:val="006E58C9"/>
    <w:rsid w:val="006E7333"/>
    <w:rsid w:val="006E7808"/>
    <w:rsid w:val="006F0AFF"/>
    <w:rsid w:val="006F2A96"/>
    <w:rsid w:val="006F32E8"/>
    <w:rsid w:val="006F452E"/>
    <w:rsid w:val="006F566D"/>
    <w:rsid w:val="006F5F45"/>
    <w:rsid w:val="007030E1"/>
    <w:rsid w:val="00703C5A"/>
    <w:rsid w:val="00705235"/>
    <w:rsid w:val="0070575C"/>
    <w:rsid w:val="00705F2A"/>
    <w:rsid w:val="007063A9"/>
    <w:rsid w:val="00710AF3"/>
    <w:rsid w:val="00711F86"/>
    <w:rsid w:val="007125EE"/>
    <w:rsid w:val="007158B2"/>
    <w:rsid w:val="00715B5F"/>
    <w:rsid w:val="00715B72"/>
    <w:rsid w:val="00716F02"/>
    <w:rsid w:val="007207C6"/>
    <w:rsid w:val="00720BC9"/>
    <w:rsid w:val="00720EB8"/>
    <w:rsid w:val="00724930"/>
    <w:rsid w:val="007259BC"/>
    <w:rsid w:val="00725FB2"/>
    <w:rsid w:val="0072650D"/>
    <w:rsid w:val="0072687A"/>
    <w:rsid w:val="00727004"/>
    <w:rsid w:val="007277FA"/>
    <w:rsid w:val="0073131C"/>
    <w:rsid w:val="0073251B"/>
    <w:rsid w:val="00740C03"/>
    <w:rsid w:val="007411C8"/>
    <w:rsid w:val="00742705"/>
    <w:rsid w:val="0074323F"/>
    <w:rsid w:val="00743A7C"/>
    <w:rsid w:val="007444AD"/>
    <w:rsid w:val="00744CD2"/>
    <w:rsid w:val="00746F0D"/>
    <w:rsid w:val="00751522"/>
    <w:rsid w:val="00752A4B"/>
    <w:rsid w:val="00752EB9"/>
    <w:rsid w:val="0075325D"/>
    <w:rsid w:val="00753D3E"/>
    <w:rsid w:val="0075413A"/>
    <w:rsid w:val="00755222"/>
    <w:rsid w:val="007556D0"/>
    <w:rsid w:val="00756900"/>
    <w:rsid w:val="00762677"/>
    <w:rsid w:val="00762EFA"/>
    <w:rsid w:val="00763099"/>
    <w:rsid w:val="007637D6"/>
    <w:rsid w:val="0076462E"/>
    <w:rsid w:val="0076617F"/>
    <w:rsid w:val="00766D24"/>
    <w:rsid w:val="0077051F"/>
    <w:rsid w:val="00770FFC"/>
    <w:rsid w:val="007713BE"/>
    <w:rsid w:val="007751AB"/>
    <w:rsid w:val="00775A98"/>
    <w:rsid w:val="00776A7C"/>
    <w:rsid w:val="007778E9"/>
    <w:rsid w:val="0078008C"/>
    <w:rsid w:val="0078099B"/>
    <w:rsid w:val="007816C4"/>
    <w:rsid w:val="0078170F"/>
    <w:rsid w:val="00784BDF"/>
    <w:rsid w:val="0079134C"/>
    <w:rsid w:val="00792140"/>
    <w:rsid w:val="0079515B"/>
    <w:rsid w:val="007951B4"/>
    <w:rsid w:val="00795963"/>
    <w:rsid w:val="00795DB5"/>
    <w:rsid w:val="00796970"/>
    <w:rsid w:val="00797756"/>
    <w:rsid w:val="00797F1E"/>
    <w:rsid w:val="007A00AB"/>
    <w:rsid w:val="007A1008"/>
    <w:rsid w:val="007A229B"/>
    <w:rsid w:val="007A2519"/>
    <w:rsid w:val="007A31A2"/>
    <w:rsid w:val="007A5623"/>
    <w:rsid w:val="007A5A4C"/>
    <w:rsid w:val="007A6165"/>
    <w:rsid w:val="007A6367"/>
    <w:rsid w:val="007A6FB6"/>
    <w:rsid w:val="007B0C0F"/>
    <w:rsid w:val="007B2129"/>
    <w:rsid w:val="007B29C2"/>
    <w:rsid w:val="007B3550"/>
    <w:rsid w:val="007B3D32"/>
    <w:rsid w:val="007B7AAA"/>
    <w:rsid w:val="007C2840"/>
    <w:rsid w:val="007C2C69"/>
    <w:rsid w:val="007C2DE5"/>
    <w:rsid w:val="007C5327"/>
    <w:rsid w:val="007C5540"/>
    <w:rsid w:val="007C5E82"/>
    <w:rsid w:val="007C7875"/>
    <w:rsid w:val="007D0011"/>
    <w:rsid w:val="007D27D3"/>
    <w:rsid w:val="007D3308"/>
    <w:rsid w:val="007D3B1C"/>
    <w:rsid w:val="007D3E6F"/>
    <w:rsid w:val="007D4EEB"/>
    <w:rsid w:val="007D52A5"/>
    <w:rsid w:val="007D6220"/>
    <w:rsid w:val="007E1C2B"/>
    <w:rsid w:val="007E4773"/>
    <w:rsid w:val="007E4C8D"/>
    <w:rsid w:val="007E6333"/>
    <w:rsid w:val="007E64A1"/>
    <w:rsid w:val="007E7921"/>
    <w:rsid w:val="007F0EB5"/>
    <w:rsid w:val="007F1064"/>
    <w:rsid w:val="007F2DD9"/>
    <w:rsid w:val="007F4099"/>
    <w:rsid w:val="007F4123"/>
    <w:rsid w:val="007F525E"/>
    <w:rsid w:val="007F60B8"/>
    <w:rsid w:val="007F6264"/>
    <w:rsid w:val="007F6EDD"/>
    <w:rsid w:val="007F76FA"/>
    <w:rsid w:val="008005D7"/>
    <w:rsid w:val="00800C18"/>
    <w:rsid w:val="0080259C"/>
    <w:rsid w:val="008031A9"/>
    <w:rsid w:val="00804114"/>
    <w:rsid w:val="00804359"/>
    <w:rsid w:val="0080771E"/>
    <w:rsid w:val="0081029A"/>
    <w:rsid w:val="00812EB1"/>
    <w:rsid w:val="00815191"/>
    <w:rsid w:val="00815CC5"/>
    <w:rsid w:val="00815EF7"/>
    <w:rsid w:val="00815F6E"/>
    <w:rsid w:val="008169D0"/>
    <w:rsid w:val="00817126"/>
    <w:rsid w:val="00821408"/>
    <w:rsid w:val="0082235A"/>
    <w:rsid w:val="00822857"/>
    <w:rsid w:val="00823021"/>
    <w:rsid w:val="008239FC"/>
    <w:rsid w:val="00824153"/>
    <w:rsid w:val="0082551D"/>
    <w:rsid w:val="00825EBB"/>
    <w:rsid w:val="0083293A"/>
    <w:rsid w:val="0083481B"/>
    <w:rsid w:val="00835888"/>
    <w:rsid w:val="00836F83"/>
    <w:rsid w:val="00837FAA"/>
    <w:rsid w:val="00840672"/>
    <w:rsid w:val="00840864"/>
    <w:rsid w:val="00840BF8"/>
    <w:rsid w:val="00841A17"/>
    <w:rsid w:val="0084236C"/>
    <w:rsid w:val="0084438B"/>
    <w:rsid w:val="00844449"/>
    <w:rsid w:val="00844B0F"/>
    <w:rsid w:val="00844F92"/>
    <w:rsid w:val="008523F7"/>
    <w:rsid w:val="0085262F"/>
    <w:rsid w:val="00853795"/>
    <w:rsid w:val="00854405"/>
    <w:rsid w:val="0085612C"/>
    <w:rsid w:val="00857339"/>
    <w:rsid w:val="00857CD6"/>
    <w:rsid w:val="00863206"/>
    <w:rsid w:val="008645B3"/>
    <w:rsid w:val="0086756A"/>
    <w:rsid w:val="00867D75"/>
    <w:rsid w:val="00870A3D"/>
    <w:rsid w:val="008724FC"/>
    <w:rsid w:val="008738D8"/>
    <w:rsid w:val="0087502E"/>
    <w:rsid w:val="00877ECE"/>
    <w:rsid w:val="00877F88"/>
    <w:rsid w:val="008820EC"/>
    <w:rsid w:val="0088270F"/>
    <w:rsid w:val="00882EED"/>
    <w:rsid w:val="00883334"/>
    <w:rsid w:val="00883CB0"/>
    <w:rsid w:val="00884398"/>
    <w:rsid w:val="008843C9"/>
    <w:rsid w:val="00886258"/>
    <w:rsid w:val="00886B52"/>
    <w:rsid w:val="00887262"/>
    <w:rsid w:val="00887981"/>
    <w:rsid w:val="008912B3"/>
    <w:rsid w:val="00891917"/>
    <w:rsid w:val="00892618"/>
    <w:rsid w:val="00893A5C"/>
    <w:rsid w:val="00893F64"/>
    <w:rsid w:val="0089423B"/>
    <w:rsid w:val="008952E4"/>
    <w:rsid w:val="0089551B"/>
    <w:rsid w:val="00896719"/>
    <w:rsid w:val="00896AAA"/>
    <w:rsid w:val="00896E16"/>
    <w:rsid w:val="008A02CB"/>
    <w:rsid w:val="008A2B12"/>
    <w:rsid w:val="008A5989"/>
    <w:rsid w:val="008A5A7A"/>
    <w:rsid w:val="008A6503"/>
    <w:rsid w:val="008A6527"/>
    <w:rsid w:val="008A692F"/>
    <w:rsid w:val="008A6D3C"/>
    <w:rsid w:val="008B22DC"/>
    <w:rsid w:val="008B5EDE"/>
    <w:rsid w:val="008B644C"/>
    <w:rsid w:val="008B6CF7"/>
    <w:rsid w:val="008B7460"/>
    <w:rsid w:val="008C021E"/>
    <w:rsid w:val="008C0ED4"/>
    <w:rsid w:val="008C2441"/>
    <w:rsid w:val="008C2E64"/>
    <w:rsid w:val="008C34AF"/>
    <w:rsid w:val="008C44DC"/>
    <w:rsid w:val="008C482A"/>
    <w:rsid w:val="008C52ED"/>
    <w:rsid w:val="008C63CF"/>
    <w:rsid w:val="008C6DA4"/>
    <w:rsid w:val="008C7D9B"/>
    <w:rsid w:val="008D0422"/>
    <w:rsid w:val="008D1C14"/>
    <w:rsid w:val="008D33C8"/>
    <w:rsid w:val="008D3655"/>
    <w:rsid w:val="008D3EB7"/>
    <w:rsid w:val="008D43C6"/>
    <w:rsid w:val="008D44AA"/>
    <w:rsid w:val="008D74F0"/>
    <w:rsid w:val="008E0189"/>
    <w:rsid w:val="008E1D77"/>
    <w:rsid w:val="008E1DFD"/>
    <w:rsid w:val="008E2074"/>
    <w:rsid w:val="008E22D9"/>
    <w:rsid w:val="008E4422"/>
    <w:rsid w:val="008E53B0"/>
    <w:rsid w:val="008E730B"/>
    <w:rsid w:val="008F01C5"/>
    <w:rsid w:val="008F15EC"/>
    <w:rsid w:val="008F1F36"/>
    <w:rsid w:val="008F3105"/>
    <w:rsid w:val="008F3172"/>
    <w:rsid w:val="008F3767"/>
    <w:rsid w:val="008F3F87"/>
    <w:rsid w:val="008F604E"/>
    <w:rsid w:val="00900DA6"/>
    <w:rsid w:val="00901A6C"/>
    <w:rsid w:val="00903527"/>
    <w:rsid w:val="00903EA7"/>
    <w:rsid w:val="009100BC"/>
    <w:rsid w:val="00910657"/>
    <w:rsid w:val="00910765"/>
    <w:rsid w:val="00910AD3"/>
    <w:rsid w:val="00911795"/>
    <w:rsid w:val="009140A9"/>
    <w:rsid w:val="00915305"/>
    <w:rsid w:val="00916C70"/>
    <w:rsid w:val="00920EC3"/>
    <w:rsid w:val="00920FD5"/>
    <w:rsid w:val="00921569"/>
    <w:rsid w:val="0092397B"/>
    <w:rsid w:val="00923C04"/>
    <w:rsid w:val="00923EC7"/>
    <w:rsid w:val="009265D9"/>
    <w:rsid w:val="00927574"/>
    <w:rsid w:val="00932F0D"/>
    <w:rsid w:val="00934A16"/>
    <w:rsid w:val="009366BD"/>
    <w:rsid w:val="00936E05"/>
    <w:rsid w:val="00937559"/>
    <w:rsid w:val="00940094"/>
    <w:rsid w:val="00940503"/>
    <w:rsid w:val="00941D2A"/>
    <w:rsid w:val="00942495"/>
    <w:rsid w:val="009432C2"/>
    <w:rsid w:val="00943B96"/>
    <w:rsid w:val="00951B3B"/>
    <w:rsid w:val="00951D6D"/>
    <w:rsid w:val="009526CD"/>
    <w:rsid w:val="009558B6"/>
    <w:rsid w:val="00955CA5"/>
    <w:rsid w:val="00960ACC"/>
    <w:rsid w:val="00961E8D"/>
    <w:rsid w:val="009634A5"/>
    <w:rsid w:val="0096413E"/>
    <w:rsid w:val="00965484"/>
    <w:rsid w:val="009675F9"/>
    <w:rsid w:val="009703B2"/>
    <w:rsid w:val="009739F0"/>
    <w:rsid w:val="00976034"/>
    <w:rsid w:val="00977DC6"/>
    <w:rsid w:val="00984287"/>
    <w:rsid w:val="00987806"/>
    <w:rsid w:val="009900BD"/>
    <w:rsid w:val="00990B04"/>
    <w:rsid w:val="00991369"/>
    <w:rsid w:val="00991466"/>
    <w:rsid w:val="00992061"/>
    <w:rsid w:val="009923C3"/>
    <w:rsid w:val="00994419"/>
    <w:rsid w:val="009971CA"/>
    <w:rsid w:val="00997B62"/>
    <w:rsid w:val="00997EB3"/>
    <w:rsid w:val="009A17C3"/>
    <w:rsid w:val="009A1F6D"/>
    <w:rsid w:val="009A2DFA"/>
    <w:rsid w:val="009A2E38"/>
    <w:rsid w:val="009A32C2"/>
    <w:rsid w:val="009A3666"/>
    <w:rsid w:val="009A3762"/>
    <w:rsid w:val="009A5691"/>
    <w:rsid w:val="009A614D"/>
    <w:rsid w:val="009A657B"/>
    <w:rsid w:val="009A7886"/>
    <w:rsid w:val="009A7E3A"/>
    <w:rsid w:val="009B0354"/>
    <w:rsid w:val="009B1EA1"/>
    <w:rsid w:val="009B2F93"/>
    <w:rsid w:val="009B4220"/>
    <w:rsid w:val="009B538B"/>
    <w:rsid w:val="009B7990"/>
    <w:rsid w:val="009C2429"/>
    <w:rsid w:val="009C2A55"/>
    <w:rsid w:val="009C3A25"/>
    <w:rsid w:val="009C3A97"/>
    <w:rsid w:val="009C487B"/>
    <w:rsid w:val="009C6EC9"/>
    <w:rsid w:val="009C716B"/>
    <w:rsid w:val="009C736A"/>
    <w:rsid w:val="009D11AE"/>
    <w:rsid w:val="009D19AC"/>
    <w:rsid w:val="009D1ABA"/>
    <w:rsid w:val="009D225D"/>
    <w:rsid w:val="009D2655"/>
    <w:rsid w:val="009D36F0"/>
    <w:rsid w:val="009D57B1"/>
    <w:rsid w:val="009D60E7"/>
    <w:rsid w:val="009D646F"/>
    <w:rsid w:val="009D6CC1"/>
    <w:rsid w:val="009E0B7F"/>
    <w:rsid w:val="009E5986"/>
    <w:rsid w:val="009E6251"/>
    <w:rsid w:val="009E729F"/>
    <w:rsid w:val="009E7874"/>
    <w:rsid w:val="009F03D1"/>
    <w:rsid w:val="009F0817"/>
    <w:rsid w:val="009F2077"/>
    <w:rsid w:val="009F4483"/>
    <w:rsid w:val="009F4A40"/>
    <w:rsid w:val="009F4BDE"/>
    <w:rsid w:val="009F6227"/>
    <w:rsid w:val="009F6E4B"/>
    <w:rsid w:val="009F7D67"/>
    <w:rsid w:val="00A01318"/>
    <w:rsid w:val="00A024CD"/>
    <w:rsid w:val="00A0324A"/>
    <w:rsid w:val="00A032A3"/>
    <w:rsid w:val="00A032CD"/>
    <w:rsid w:val="00A04E12"/>
    <w:rsid w:val="00A05A44"/>
    <w:rsid w:val="00A05C77"/>
    <w:rsid w:val="00A0662B"/>
    <w:rsid w:val="00A072F6"/>
    <w:rsid w:val="00A15EAC"/>
    <w:rsid w:val="00A16E1E"/>
    <w:rsid w:val="00A20111"/>
    <w:rsid w:val="00A20435"/>
    <w:rsid w:val="00A20539"/>
    <w:rsid w:val="00A20784"/>
    <w:rsid w:val="00A2359A"/>
    <w:rsid w:val="00A235A7"/>
    <w:rsid w:val="00A23D59"/>
    <w:rsid w:val="00A25E27"/>
    <w:rsid w:val="00A26028"/>
    <w:rsid w:val="00A27A99"/>
    <w:rsid w:val="00A3066D"/>
    <w:rsid w:val="00A31049"/>
    <w:rsid w:val="00A3303C"/>
    <w:rsid w:val="00A3304F"/>
    <w:rsid w:val="00A33056"/>
    <w:rsid w:val="00A3375B"/>
    <w:rsid w:val="00A340DF"/>
    <w:rsid w:val="00A34763"/>
    <w:rsid w:val="00A34FB5"/>
    <w:rsid w:val="00A37356"/>
    <w:rsid w:val="00A37A89"/>
    <w:rsid w:val="00A37BDA"/>
    <w:rsid w:val="00A43392"/>
    <w:rsid w:val="00A436E7"/>
    <w:rsid w:val="00A44F05"/>
    <w:rsid w:val="00A4662E"/>
    <w:rsid w:val="00A467BF"/>
    <w:rsid w:val="00A46B72"/>
    <w:rsid w:val="00A470DA"/>
    <w:rsid w:val="00A51746"/>
    <w:rsid w:val="00A52DD5"/>
    <w:rsid w:val="00A52DE7"/>
    <w:rsid w:val="00A52E37"/>
    <w:rsid w:val="00A5466B"/>
    <w:rsid w:val="00A55054"/>
    <w:rsid w:val="00A55BE2"/>
    <w:rsid w:val="00A55E9A"/>
    <w:rsid w:val="00A56ECF"/>
    <w:rsid w:val="00A570CF"/>
    <w:rsid w:val="00A578DF"/>
    <w:rsid w:val="00A60E4F"/>
    <w:rsid w:val="00A61ED4"/>
    <w:rsid w:val="00A61FFF"/>
    <w:rsid w:val="00A62793"/>
    <w:rsid w:val="00A64256"/>
    <w:rsid w:val="00A64875"/>
    <w:rsid w:val="00A65FBC"/>
    <w:rsid w:val="00A7073C"/>
    <w:rsid w:val="00A72446"/>
    <w:rsid w:val="00A72458"/>
    <w:rsid w:val="00A73211"/>
    <w:rsid w:val="00A73965"/>
    <w:rsid w:val="00A73FC3"/>
    <w:rsid w:val="00A75558"/>
    <w:rsid w:val="00A76E5E"/>
    <w:rsid w:val="00A77BB1"/>
    <w:rsid w:val="00A77DBD"/>
    <w:rsid w:val="00A812AE"/>
    <w:rsid w:val="00A82A57"/>
    <w:rsid w:val="00A84A42"/>
    <w:rsid w:val="00A84DD3"/>
    <w:rsid w:val="00A87D8F"/>
    <w:rsid w:val="00A901CF"/>
    <w:rsid w:val="00A92966"/>
    <w:rsid w:val="00A92ED2"/>
    <w:rsid w:val="00A937D8"/>
    <w:rsid w:val="00A939D2"/>
    <w:rsid w:val="00A94854"/>
    <w:rsid w:val="00A96016"/>
    <w:rsid w:val="00AA099F"/>
    <w:rsid w:val="00AA1221"/>
    <w:rsid w:val="00AA1B64"/>
    <w:rsid w:val="00AA1CCD"/>
    <w:rsid w:val="00AA2350"/>
    <w:rsid w:val="00AA2F68"/>
    <w:rsid w:val="00AA31A2"/>
    <w:rsid w:val="00AA43A1"/>
    <w:rsid w:val="00AA5681"/>
    <w:rsid w:val="00AA590F"/>
    <w:rsid w:val="00AA69D9"/>
    <w:rsid w:val="00AA7B94"/>
    <w:rsid w:val="00AB0BC9"/>
    <w:rsid w:val="00AB0D25"/>
    <w:rsid w:val="00AB1A18"/>
    <w:rsid w:val="00AB1C36"/>
    <w:rsid w:val="00AB5F57"/>
    <w:rsid w:val="00AB64C9"/>
    <w:rsid w:val="00AB7077"/>
    <w:rsid w:val="00AC04D5"/>
    <w:rsid w:val="00AC592E"/>
    <w:rsid w:val="00AD116C"/>
    <w:rsid w:val="00AD3B42"/>
    <w:rsid w:val="00AD6DCC"/>
    <w:rsid w:val="00AD7384"/>
    <w:rsid w:val="00AE407D"/>
    <w:rsid w:val="00AE4BB2"/>
    <w:rsid w:val="00AE7166"/>
    <w:rsid w:val="00AE7281"/>
    <w:rsid w:val="00AE73D0"/>
    <w:rsid w:val="00AE7E61"/>
    <w:rsid w:val="00AF1830"/>
    <w:rsid w:val="00AF2746"/>
    <w:rsid w:val="00AF5C27"/>
    <w:rsid w:val="00AF5D84"/>
    <w:rsid w:val="00B02BFD"/>
    <w:rsid w:val="00B03116"/>
    <w:rsid w:val="00B03C7B"/>
    <w:rsid w:val="00B071D4"/>
    <w:rsid w:val="00B111B9"/>
    <w:rsid w:val="00B112A0"/>
    <w:rsid w:val="00B122C5"/>
    <w:rsid w:val="00B13167"/>
    <w:rsid w:val="00B133C9"/>
    <w:rsid w:val="00B138E3"/>
    <w:rsid w:val="00B16B20"/>
    <w:rsid w:val="00B17E6D"/>
    <w:rsid w:val="00B20AB6"/>
    <w:rsid w:val="00B21967"/>
    <w:rsid w:val="00B23016"/>
    <w:rsid w:val="00B258E2"/>
    <w:rsid w:val="00B269D7"/>
    <w:rsid w:val="00B27524"/>
    <w:rsid w:val="00B3023E"/>
    <w:rsid w:val="00B30B7A"/>
    <w:rsid w:val="00B3125D"/>
    <w:rsid w:val="00B3128F"/>
    <w:rsid w:val="00B32272"/>
    <w:rsid w:val="00B32C36"/>
    <w:rsid w:val="00B34BFF"/>
    <w:rsid w:val="00B34FD9"/>
    <w:rsid w:val="00B3527C"/>
    <w:rsid w:val="00B36B3F"/>
    <w:rsid w:val="00B36C45"/>
    <w:rsid w:val="00B41694"/>
    <w:rsid w:val="00B42ABC"/>
    <w:rsid w:val="00B43908"/>
    <w:rsid w:val="00B43DA6"/>
    <w:rsid w:val="00B43F1B"/>
    <w:rsid w:val="00B4403D"/>
    <w:rsid w:val="00B4509D"/>
    <w:rsid w:val="00B455E1"/>
    <w:rsid w:val="00B45631"/>
    <w:rsid w:val="00B471ED"/>
    <w:rsid w:val="00B510AE"/>
    <w:rsid w:val="00B516E7"/>
    <w:rsid w:val="00B51F81"/>
    <w:rsid w:val="00B52AD3"/>
    <w:rsid w:val="00B52E3C"/>
    <w:rsid w:val="00B54735"/>
    <w:rsid w:val="00B54C86"/>
    <w:rsid w:val="00B56AAA"/>
    <w:rsid w:val="00B57E95"/>
    <w:rsid w:val="00B607D7"/>
    <w:rsid w:val="00B64896"/>
    <w:rsid w:val="00B64C90"/>
    <w:rsid w:val="00B65658"/>
    <w:rsid w:val="00B6619D"/>
    <w:rsid w:val="00B662D4"/>
    <w:rsid w:val="00B66320"/>
    <w:rsid w:val="00B703AD"/>
    <w:rsid w:val="00B70CF6"/>
    <w:rsid w:val="00B71A22"/>
    <w:rsid w:val="00B71B94"/>
    <w:rsid w:val="00B73758"/>
    <w:rsid w:val="00B743F8"/>
    <w:rsid w:val="00B760CC"/>
    <w:rsid w:val="00B81028"/>
    <w:rsid w:val="00B8138D"/>
    <w:rsid w:val="00B813BB"/>
    <w:rsid w:val="00B8478C"/>
    <w:rsid w:val="00B86B28"/>
    <w:rsid w:val="00B90412"/>
    <w:rsid w:val="00B92454"/>
    <w:rsid w:val="00B92A49"/>
    <w:rsid w:val="00B937FA"/>
    <w:rsid w:val="00B93D7E"/>
    <w:rsid w:val="00B9459F"/>
    <w:rsid w:val="00B950DE"/>
    <w:rsid w:val="00B96C7A"/>
    <w:rsid w:val="00B97518"/>
    <w:rsid w:val="00B97F86"/>
    <w:rsid w:val="00BA199E"/>
    <w:rsid w:val="00BA2325"/>
    <w:rsid w:val="00BA2DAA"/>
    <w:rsid w:val="00BA3FEE"/>
    <w:rsid w:val="00BA7404"/>
    <w:rsid w:val="00BB0AC4"/>
    <w:rsid w:val="00BB0AE5"/>
    <w:rsid w:val="00BB0F95"/>
    <w:rsid w:val="00BB1BA7"/>
    <w:rsid w:val="00BB2016"/>
    <w:rsid w:val="00BB220C"/>
    <w:rsid w:val="00BB309B"/>
    <w:rsid w:val="00BB32F0"/>
    <w:rsid w:val="00BB48A0"/>
    <w:rsid w:val="00BB4972"/>
    <w:rsid w:val="00BB6331"/>
    <w:rsid w:val="00BB77C2"/>
    <w:rsid w:val="00BC0BF7"/>
    <w:rsid w:val="00BC0FB4"/>
    <w:rsid w:val="00BC1062"/>
    <w:rsid w:val="00BC1100"/>
    <w:rsid w:val="00BC14D4"/>
    <w:rsid w:val="00BC2385"/>
    <w:rsid w:val="00BC347C"/>
    <w:rsid w:val="00BC5213"/>
    <w:rsid w:val="00BC5415"/>
    <w:rsid w:val="00BC730D"/>
    <w:rsid w:val="00BD1421"/>
    <w:rsid w:val="00BD3148"/>
    <w:rsid w:val="00BD3E5D"/>
    <w:rsid w:val="00BD4D22"/>
    <w:rsid w:val="00BD6EC4"/>
    <w:rsid w:val="00BE0476"/>
    <w:rsid w:val="00BE0FAA"/>
    <w:rsid w:val="00BE2409"/>
    <w:rsid w:val="00BE3E18"/>
    <w:rsid w:val="00BE705B"/>
    <w:rsid w:val="00BF0476"/>
    <w:rsid w:val="00BF0B49"/>
    <w:rsid w:val="00BF1B0C"/>
    <w:rsid w:val="00BF1B8C"/>
    <w:rsid w:val="00BF1EB6"/>
    <w:rsid w:val="00BF1F5E"/>
    <w:rsid w:val="00BF2311"/>
    <w:rsid w:val="00BF49E9"/>
    <w:rsid w:val="00BF4DE5"/>
    <w:rsid w:val="00BF5CB5"/>
    <w:rsid w:val="00BF6D85"/>
    <w:rsid w:val="00BF78FC"/>
    <w:rsid w:val="00C00746"/>
    <w:rsid w:val="00C01D0C"/>
    <w:rsid w:val="00C01ECC"/>
    <w:rsid w:val="00C0228A"/>
    <w:rsid w:val="00C022ED"/>
    <w:rsid w:val="00C03C0C"/>
    <w:rsid w:val="00C03C0E"/>
    <w:rsid w:val="00C041B3"/>
    <w:rsid w:val="00C04694"/>
    <w:rsid w:val="00C04DE8"/>
    <w:rsid w:val="00C04EBF"/>
    <w:rsid w:val="00C056E9"/>
    <w:rsid w:val="00C05B8F"/>
    <w:rsid w:val="00C05BBF"/>
    <w:rsid w:val="00C06863"/>
    <w:rsid w:val="00C06921"/>
    <w:rsid w:val="00C116EF"/>
    <w:rsid w:val="00C13659"/>
    <w:rsid w:val="00C1380A"/>
    <w:rsid w:val="00C14812"/>
    <w:rsid w:val="00C15484"/>
    <w:rsid w:val="00C16050"/>
    <w:rsid w:val="00C163E0"/>
    <w:rsid w:val="00C1790B"/>
    <w:rsid w:val="00C17F90"/>
    <w:rsid w:val="00C20016"/>
    <w:rsid w:val="00C21A9C"/>
    <w:rsid w:val="00C21C70"/>
    <w:rsid w:val="00C22438"/>
    <w:rsid w:val="00C24AC1"/>
    <w:rsid w:val="00C2616A"/>
    <w:rsid w:val="00C26996"/>
    <w:rsid w:val="00C27D8B"/>
    <w:rsid w:val="00C27EB6"/>
    <w:rsid w:val="00C318FD"/>
    <w:rsid w:val="00C33630"/>
    <w:rsid w:val="00C34A89"/>
    <w:rsid w:val="00C34D39"/>
    <w:rsid w:val="00C34DA4"/>
    <w:rsid w:val="00C352DB"/>
    <w:rsid w:val="00C37667"/>
    <w:rsid w:val="00C42AAD"/>
    <w:rsid w:val="00C440D3"/>
    <w:rsid w:val="00C44AF4"/>
    <w:rsid w:val="00C465C9"/>
    <w:rsid w:val="00C4694A"/>
    <w:rsid w:val="00C47553"/>
    <w:rsid w:val="00C47806"/>
    <w:rsid w:val="00C52DDD"/>
    <w:rsid w:val="00C53F2A"/>
    <w:rsid w:val="00C577DC"/>
    <w:rsid w:val="00C57B66"/>
    <w:rsid w:val="00C60B23"/>
    <w:rsid w:val="00C622D2"/>
    <w:rsid w:val="00C63FDE"/>
    <w:rsid w:val="00C64753"/>
    <w:rsid w:val="00C650D7"/>
    <w:rsid w:val="00C65142"/>
    <w:rsid w:val="00C65464"/>
    <w:rsid w:val="00C7042B"/>
    <w:rsid w:val="00C70CF2"/>
    <w:rsid w:val="00C712D4"/>
    <w:rsid w:val="00C726FB"/>
    <w:rsid w:val="00C7289F"/>
    <w:rsid w:val="00C73426"/>
    <w:rsid w:val="00C739A1"/>
    <w:rsid w:val="00C757FD"/>
    <w:rsid w:val="00C77FF8"/>
    <w:rsid w:val="00C81E50"/>
    <w:rsid w:val="00C835DB"/>
    <w:rsid w:val="00C83A16"/>
    <w:rsid w:val="00C87619"/>
    <w:rsid w:val="00C90DB6"/>
    <w:rsid w:val="00C92C19"/>
    <w:rsid w:val="00C9393F"/>
    <w:rsid w:val="00C940E0"/>
    <w:rsid w:val="00C94C19"/>
    <w:rsid w:val="00C96A5F"/>
    <w:rsid w:val="00C96AF2"/>
    <w:rsid w:val="00C96C91"/>
    <w:rsid w:val="00CA03AC"/>
    <w:rsid w:val="00CA0525"/>
    <w:rsid w:val="00CA2BF0"/>
    <w:rsid w:val="00CA34B6"/>
    <w:rsid w:val="00CA3E05"/>
    <w:rsid w:val="00CA546D"/>
    <w:rsid w:val="00CA792D"/>
    <w:rsid w:val="00CB1203"/>
    <w:rsid w:val="00CB1899"/>
    <w:rsid w:val="00CB4128"/>
    <w:rsid w:val="00CB4A63"/>
    <w:rsid w:val="00CB5B93"/>
    <w:rsid w:val="00CB6110"/>
    <w:rsid w:val="00CB6325"/>
    <w:rsid w:val="00CB706D"/>
    <w:rsid w:val="00CB720B"/>
    <w:rsid w:val="00CB7E2D"/>
    <w:rsid w:val="00CC0E98"/>
    <w:rsid w:val="00CC4A73"/>
    <w:rsid w:val="00CC5AED"/>
    <w:rsid w:val="00CC6409"/>
    <w:rsid w:val="00CD0267"/>
    <w:rsid w:val="00CD1073"/>
    <w:rsid w:val="00CD229D"/>
    <w:rsid w:val="00CD4BCB"/>
    <w:rsid w:val="00CD4D31"/>
    <w:rsid w:val="00CD51F0"/>
    <w:rsid w:val="00CD5CF6"/>
    <w:rsid w:val="00CD5DE9"/>
    <w:rsid w:val="00CD7495"/>
    <w:rsid w:val="00CE0329"/>
    <w:rsid w:val="00CE174A"/>
    <w:rsid w:val="00CE1818"/>
    <w:rsid w:val="00CE342A"/>
    <w:rsid w:val="00CE49FC"/>
    <w:rsid w:val="00CE597D"/>
    <w:rsid w:val="00CE61E3"/>
    <w:rsid w:val="00CE6728"/>
    <w:rsid w:val="00CE70B1"/>
    <w:rsid w:val="00CF11CE"/>
    <w:rsid w:val="00CF1D7D"/>
    <w:rsid w:val="00CF2961"/>
    <w:rsid w:val="00CF383E"/>
    <w:rsid w:val="00CF3AAF"/>
    <w:rsid w:val="00CF4A5A"/>
    <w:rsid w:val="00CF607A"/>
    <w:rsid w:val="00D03195"/>
    <w:rsid w:val="00D054A2"/>
    <w:rsid w:val="00D0628E"/>
    <w:rsid w:val="00D06965"/>
    <w:rsid w:val="00D06E8B"/>
    <w:rsid w:val="00D07C21"/>
    <w:rsid w:val="00D10A30"/>
    <w:rsid w:val="00D131E3"/>
    <w:rsid w:val="00D14FFF"/>
    <w:rsid w:val="00D154D1"/>
    <w:rsid w:val="00D1639F"/>
    <w:rsid w:val="00D1657A"/>
    <w:rsid w:val="00D16595"/>
    <w:rsid w:val="00D171A4"/>
    <w:rsid w:val="00D1729D"/>
    <w:rsid w:val="00D178AD"/>
    <w:rsid w:val="00D2026D"/>
    <w:rsid w:val="00D220E2"/>
    <w:rsid w:val="00D2429B"/>
    <w:rsid w:val="00D26525"/>
    <w:rsid w:val="00D30060"/>
    <w:rsid w:val="00D301C1"/>
    <w:rsid w:val="00D30BCD"/>
    <w:rsid w:val="00D30DF3"/>
    <w:rsid w:val="00D3121E"/>
    <w:rsid w:val="00D32360"/>
    <w:rsid w:val="00D32779"/>
    <w:rsid w:val="00D32B6D"/>
    <w:rsid w:val="00D33CEA"/>
    <w:rsid w:val="00D36199"/>
    <w:rsid w:val="00D36A83"/>
    <w:rsid w:val="00D36D77"/>
    <w:rsid w:val="00D3785D"/>
    <w:rsid w:val="00D3799A"/>
    <w:rsid w:val="00D407DB"/>
    <w:rsid w:val="00D41412"/>
    <w:rsid w:val="00D441F1"/>
    <w:rsid w:val="00D44D29"/>
    <w:rsid w:val="00D457A3"/>
    <w:rsid w:val="00D51F0A"/>
    <w:rsid w:val="00D5283D"/>
    <w:rsid w:val="00D5315B"/>
    <w:rsid w:val="00D53272"/>
    <w:rsid w:val="00D54557"/>
    <w:rsid w:val="00D55373"/>
    <w:rsid w:val="00D558D7"/>
    <w:rsid w:val="00D55DEA"/>
    <w:rsid w:val="00D55EF7"/>
    <w:rsid w:val="00D63F6F"/>
    <w:rsid w:val="00D643DA"/>
    <w:rsid w:val="00D657B2"/>
    <w:rsid w:val="00D6657E"/>
    <w:rsid w:val="00D666C4"/>
    <w:rsid w:val="00D675AC"/>
    <w:rsid w:val="00D67625"/>
    <w:rsid w:val="00D6784C"/>
    <w:rsid w:val="00D67D1A"/>
    <w:rsid w:val="00D71715"/>
    <w:rsid w:val="00D71B49"/>
    <w:rsid w:val="00D75C03"/>
    <w:rsid w:val="00D760D2"/>
    <w:rsid w:val="00D7656B"/>
    <w:rsid w:val="00D76EFD"/>
    <w:rsid w:val="00D773BA"/>
    <w:rsid w:val="00D77C28"/>
    <w:rsid w:val="00D815AC"/>
    <w:rsid w:val="00D8232C"/>
    <w:rsid w:val="00D84A7D"/>
    <w:rsid w:val="00D85A30"/>
    <w:rsid w:val="00D85A97"/>
    <w:rsid w:val="00D85F28"/>
    <w:rsid w:val="00D8769D"/>
    <w:rsid w:val="00D90FD2"/>
    <w:rsid w:val="00D91F9F"/>
    <w:rsid w:val="00D971F3"/>
    <w:rsid w:val="00DA0011"/>
    <w:rsid w:val="00DA0485"/>
    <w:rsid w:val="00DA1CE9"/>
    <w:rsid w:val="00DA1DAD"/>
    <w:rsid w:val="00DA2109"/>
    <w:rsid w:val="00DA3A60"/>
    <w:rsid w:val="00DA7865"/>
    <w:rsid w:val="00DA7B50"/>
    <w:rsid w:val="00DA7E70"/>
    <w:rsid w:val="00DB2719"/>
    <w:rsid w:val="00DB278A"/>
    <w:rsid w:val="00DB2D94"/>
    <w:rsid w:val="00DB540E"/>
    <w:rsid w:val="00DB63AA"/>
    <w:rsid w:val="00DB68ED"/>
    <w:rsid w:val="00DB6EB8"/>
    <w:rsid w:val="00DC373A"/>
    <w:rsid w:val="00DC4409"/>
    <w:rsid w:val="00DC4481"/>
    <w:rsid w:val="00DC4B39"/>
    <w:rsid w:val="00DD2147"/>
    <w:rsid w:val="00DD2C03"/>
    <w:rsid w:val="00DD4931"/>
    <w:rsid w:val="00DD555E"/>
    <w:rsid w:val="00DD6294"/>
    <w:rsid w:val="00DD63A3"/>
    <w:rsid w:val="00DD63E0"/>
    <w:rsid w:val="00DD6A12"/>
    <w:rsid w:val="00DD6D2C"/>
    <w:rsid w:val="00DD6FCC"/>
    <w:rsid w:val="00DD78E1"/>
    <w:rsid w:val="00DE03F7"/>
    <w:rsid w:val="00DE043C"/>
    <w:rsid w:val="00DE1494"/>
    <w:rsid w:val="00DE1A2E"/>
    <w:rsid w:val="00DE323E"/>
    <w:rsid w:val="00DE4E01"/>
    <w:rsid w:val="00DE62E6"/>
    <w:rsid w:val="00DE697A"/>
    <w:rsid w:val="00DE6D76"/>
    <w:rsid w:val="00DF099B"/>
    <w:rsid w:val="00DF106E"/>
    <w:rsid w:val="00DF1414"/>
    <w:rsid w:val="00DF15C3"/>
    <w:rsid w:val="00DF171B"/>
    <w:rsid w:val="00DF18FF"/>
    <w:rsid w:val="00DF1936"/>
    <w:rsid w:val="00DF2FF8"/>
    <w:rsid w:val="00DF4AFA"/>
    <w:rsid w:val="00DF4CEB"/>
    <w:rsid w:val="00DF5CD0"/>
    <w:rsid w:val="00DF627B"/>
    <w:rsid w:val="00DF6751"/>
    <w:rsid w:val="00E05A8B"/>
    <w:rsid w:val="00E075CB"/>
    <w:rsid w:val="00E10A89"/>
    <w:rsid w:val="00E13FF7"/>
    <w:rsid w:val="00E143C2"/>
    <w:rsid w:val="00E15178"/>
    <w:rsid w:val="00E1640D"/>
    <w:rsid w:val="00E20B44"/>
    <w:rsid w:val="00E211B6"/>
    <w:rsid w:val="00E2171B"/>
    <w:rsid w:val="00E217BE"/>
    <w:rsid w:val="00E22996"/>
    <w:rsid w:val="00E229FA"/>
    <w:rsid w:val="00E23420"/>
    <w:rsid w:val="00E23856"/>
    <w:rsid w:val="00E239A2"/>
    <w:rsid w:val="00E2447C"/>
    <w:rsid w:val="00E26E47"/>
    <w:rsid w:val="00E30D47"/>
    <w:rsid w:val="00E31CF5"/>
    <w:rsid w:val="00E3275A"/>
    <w:rsid w:val="00E343E0"/>
    <w:rsid w:val="00E34520"/>
    <w:rsid w:val="00E35169"/>
    <w:rsid w:val="00E351A5"/>
    <w:rsid w:val="00E3667B"/>
    <w:rsid w:val="00E36FA3"/>
    <w:rsid w:val="00E40208"/>
    <w:rsid w:val="00E4129D"/>
    <w:rsid w:val="00E41595"/>
    <w:rsid w:val="00E43B22"/>
    <w:rsid w:val="00E459C4"/>
    <w:rsid w:val="00E4630E"/>
    <w:rsid w:val="00E479D1"/>
    <w:rsid w:val="00E50F8F"/>
    <w:rsid w:val="00E5106E"/>
    <w:rsid w:val="00E51187"/>
    <w:rsid w:val="00E51EFC"/>
    <w:rsid w:val="00E53DF4"/>
    <w:rsid w:val="00E54E81"/>
    <w:rsid w:val="00E575CC"/>
    <w:rsid w:val="00E60187"/>
    <w:rsid w:val="00E603AA"/>
    <w:rsid w:val="00E6060A"/>
    <w:rsid w:val="00E627A5"/>
    <w:rsid w:val="00E649CA"/>
    <w:rsid w:val="00E66E8C"/>
    <w:rsid w:val="00E677B9"/>
    <w:rsid w:val="00E67D8B"/>
    <w:rsid w:val="00E67EC4"/>
    <w:rsid w:val="00E717B7"/>
    <w:rsid w:val="00E72532"/>
    <w:rsid w:val="00E72B08"/>
    <w:rsid w:val="00E72D55"/>
    <w:rsid w:val="00E73C50"/>
    <w:rsid w:val="00E742E7"/>
    <w:rsid w:val="00E74B8A"/>
    <w:rsid w:val="00E767B0"/>
    <w:rsid w:val="00E76836"/>
    <w:rsid w:val="00E76C68"/>
    <w:rsid w:val="00E80C99"/>
    <w:rsid w:val="00E81740"/>
    <w:rsid w:val="00E81ACF"/>
    <w:rsid w:val="00E824E0"/>
    <w:rsid w:val="00E8362D"/>
    <w:rsid w:val="00E854AC"/>
    <w:rsid w:val="00E85C14"/>
    <w:rsid w:val="00E90B8E"/>
    <w:rsid w:val="00E90DC0"/>
    <w:rsid w:val="00E92099"/>
    <w:rsid w:val="00E946BA"/>
    <w:rsid w:val="00E97DC5"/>
    <w:rsid w:val="00EA0BB1"/>
    <w:rsid w:val="00EA0F71"/>
    <w:rsid w:val="00EA196E"/>
    <w:rsid w:val="00EA1AE4"/>
    <w:rsid w:val="00EA2A9F"/>
    <w:rsid w:val="00EA5C7E"/>
    <w:rsid w:val="00EA6AD4"/>
    <w:rsid w:val="00EB070D"/>
    <w:rsid w:val="00EB0A37"/>
    <w:rsid w:val="00EB0EE4"/>
    <w:rsid w:val="00EB189B"/>
    <w:rsid w:val="00EB38C1"/>
    <w:rsid w:val="00EB3E47"/>
    <w:rsid w:val="00EB68B8"/>
    <w:rsid w:val="00EC00B4"/>
    <w:rsid w:val="00EC0A85"/>
    <w:rsid w:val="00EC0DE3"/>
    <w:rsid w:val="00EC1D1D"/>
    <w:rsid w:val="00EC36D7"/>
    <w:rsid w:val="00EC56FE"/>
    <w:rsid w:val="00EC5CC4"/>
    <w:rsid w:val="00EC6EEB"/>
    <w:rsid w:val="00EC7671"/>
    <w:rsid w:val="00EC7A45"/>
    <w:rsid w:val="00ED0C5A"/>
    <w:rsid w:val="00ED0EE7"/>
    <w:rsid w:val="00ED1B8B"/>
    <w:rsid w:val="00ED21A4"/>
    <w:rsid w:val="00ED21A5"/>
    <w:rsid w:val="00ED2D4A"/>
    <w:rsid w:val="00ED5EF6"/>
    <w:rsid w:val="00ED6615"/>
    <w:rsid w:val="00ED6D78"/>
    <w:rsid w:val="00ED6EF0"/>
    <w:rsid w:val="00ED6F70"/>
    <w:rsid w:val="00ED6FAA"/>
    <w:rsid w:val="00ED7084"/>
    <w:rsid w:val="00ED7480"/>
    <w:rsid w:val="00ED765E"/>
    <w:rsid w:val="00EE0976"/>
    <w:rsid w:val="00EE1677"/>
    <w:rsid w:val="00EE1E1A"/>
    <w:rsid w:val="00EE332B"/>
    <w:rsid w:val="00EE34A9"/>
    <w:rsid w:val="00EE4999"/>
    <w:rsid w:val="00EE5361"/>
    <w:rsid w:val="00EE6347"/>
    <w:rsid w:val="00EF1F1C"/>
    <w:rsid w:val="00EF2525"/>
    <w:rsid w:val="00EF26FD"/>
    <w:rsid w:val="00EF2F09"/>
    <w:rsid w:val="00EF2FA4"/>
    <w:rsid w:val="00EF45F9"/>
    <w:rsid w:val="00EF62DB"/>
    <w:rsid w:val="00EF7028"/>
    <w:rsid w:val="00F0026A"/>
    <w:rsid w:val="00F00C16"/>
    <w:rsid w:val="00F013D6"/>
    <w:rsid w:val="00F01826"/>
    <w:rsid w:val="00F02DF0"/>
    <w:rsid w:val="00F04334"/>
    <w:rsid w:val="00F06A1A"/>
    <w:rsid w:val="00F06CD0"/>
    <w:rsid w:val="00F131C8"/>
    <w:rsid w:val="00F14364"/>
    <w:rsid w:val="00F20435"/>
    <w:rsid w:val="00F205B1"/>
    <w:rsid w:val="00F20B5A"/>
    <w:rsid w:val="00F20F31"/>
    <w:rsid w:val="00F22075"/>
    <w:rsid w:val="00F23C53"/>
    <w:rsid w:val="00F23ECB"/>
    <w:rsid w:val="00F23F49"/>
    <w:rsid w:val="00F249A9"/>
    <w:rsid w:val="00F27B7B"/>
    <w:rsid w:val="00F3299F"/>
    <w:rsid w:val="00F332F3"/>
    <w:rsid w:val="00F338CA"/>
    <w:rsid w:val="00F33A8A"/>
    <w:rsid w:val="00F34937"/>
    <w:rsid w:val="00F35DE6"/>
    <w:rsid w:val="00F366BC"/>
    <w:rsid w:val="00F37EAC"/>
    <w:rsid w:val="00F40A98"/>
    <w:rsid w:val="00F40D04"/>
    <w:rsid w:val="00F422EA"/>
    <w:rsid w:val="00F4289C"/>
    <w:rsid w:val="00F435CC"/>
    <w:rsid w:val="00F4381A"/>
    <w:rsid w:val="00F4566B"/>
    <w:rsid w:val="00F46004"/>
    <w:rsid w:val="00F47713"/>
    <w:rsid w:val="00F5005B"/>
    <w:rsid w:val="00F512FA"/>
    <w:rsid w:val="00F51D5D"/>
    <w:rsid w:val="00F52CD7"/>
    <w:rsid w:val="00F53061"/>
    <w:rsid w:val="00F5390E"/>
    <w:rsid w:val="00F53FD6"/>
    <w:rsid w:val="00F543DC"/>
    <w:rsid w:val="00F57C22"/>
    <w:rsid w:val="00F60C40"/>
    <w:rsid w:val="00F61099"/>
    <w:rsid w:val="00F61B3E"/>
    <w:rsid w:val="00F62327"/>
    <w:rsid w:val="00F6238A"/>
    <w:rsid w:val="00F63BD5"/>
    <w:rsid w:val="00F64DA6"/>
    <w:rsid w:val="00F65090"/>
    <w:rsid w:val="00F661A8"/>
    <w:rsid w:val="00F67697"/>
    <w:rsid w:val="00F67F59"/>
    <w:rsid w:val="00F71A18"/>
    <w:rsid w:val="00F72134"/>
    <w:rsid w:val="00F72861"/>
    <w:rsid w:val="00F72EDD"/>
    <w:rsid w:val="00F73094"/>
    <w:rsid w:val="00F73BE2"/>
    <w:rsid w:val="00F7686E"/>
    <w:rsid w:val="00F77440"/>
    <w:rsid w:val="00F81C9A"/>
    <w:rsid w:val="00F828A5"/>
    <w:rsid w:val="00F82B00"/>
    <w:rsid w:val="00F82D72"/>
    <w:rsid w:val="00F82DB5"/>
    <w:rsid w:val="00F82F96"/>
    <w:rsid w:val="00F832A8"/>
    <w:rsid w:val="00F86A74"/>
    <w:rsid w:val="00F90037"/>
    <w:rsid w:val="00F90CDF"/>
    <w:rsid w:val="00F92538"/>
    <w:rsid w:val="00F925AE"/>
    <w:rsid w:val="00F94B9C"/>
    <w:rsid w:val="00F95846"/>
    <w:rsid w:val="00F9694A"/>
    <w:rsid w:val="00F9797A"/>
    <w:rsid w:val="00F97D7A"/>
    <w:rsid w:val="00FA057A"/>
    <w:rsid w:val="00FA1824"/>
    <w:rsid w:val="00FA2F43"/>
    <w:rsid w:val="00FA7F0B"/>
    <w:rsid w:val="00FB0E35"/>
    <w:rsid w:val="00FB1046"/>
    <w:rsid w:val="00FB20E1"/>
    <w:rsid w:val="00FB23B6"/>
    <w:rsid w:val="00FB3084"/>
    <w:rsid w:val="00FB507A"/>
    <w:rsid w:val="00FB5797"/>
    <w:rsid w:val="00FC280C"/>
    <w:rsid w:val="00FD0100"/>
    <w:rsid w:val="00FD113B"/>
    <w:rsid w:val="00FD1DC6"/>
    <w:rsid w:val="00FD6A7D"/>
    <w:rsid w:val="00FD7FFA"/>
    <w:rsid w:val="00FE02AA"/>
    <w:rsid w:val="00FE1124"/>
    <w:rsid w:val="00FE17F7"/>
    <w:rsid w:val="00FE4B31"/>
    <w:rsid w:val="00FE6176"/>
    <w:rsid w:val="00FE7471"/>
    <w:rsid w:val="00FF1479"/>
    <w:rsid w:val="00FF370E"/>
    <w:rsid w:val="00FF37F4"/>
    <w:rsid w:val="00FF3C60"/>
    <w:rsid w:val="00FF4015"/>
    <w:rsid w:val="00FF4846"/>
    <w:rsid w:val="00FF5041"/>
    <w:rsid w:val="00FF5179"/>
    <w:rsid w:val="00FF5254"/>
    <w:rsid w:val="00FF5479"/>
    <w:rsid w:val="00FF55AA"/>
    <w:rsid w:val="00FF573B"/>
    <w:rsid w:val="00FF62E6"/>
    <w:rsid w:val="00FF730D"/>
    <w:rsid w:val="016E5CAD"/>
    <w:rsid w:val="03759A2D"/>
    <w:rsid w:val="057E7A9E"/>
    <w:rsid w:val="12BA3E37"/>
    <w:rsid w:val="14CF566B"/>
    <w:rsid w:val="15871D97"/>
    <w:rsid w:val="1A846B21"/>
    <w:rsid w:val="1EAC4308"/>
    <w:rsid w:val="1EAE4BB5"/>
    <w:rsid w:val="1F796619"/>
    <w:rsid w:val="1FFD8CB6"/>
    <w:rsid w:val="239F3002"/>
    <w:rsid w:val="256D6149"/>
    <w:rsid w:val="2ABE7FF2"/>
    <w:rsid w:val="2BF4699C"/>
    <w:rsid w:val="2DBF5486"/>
    <w:rsid w:val="2FA854A1"/>
    <w:rsid w:val="319779A2"/>
    <w:rsid w:val="34DC0034"/>
    <w:rsid w:val="356E11CF"/>
    <w:rsid w:val="378AA26B"/>
    <w:rsid w:val="387D4261"/>
    <w:rsid w:val="3B5A3316"/>
    <w:rsid w:val="3BFB716F"/>
    <w:rsid w:val="4272176A"/>
    <w:rsid w:val="44A63434"/>
    <w:rsid w:val="46153460"/>
    <w:rsid w:val="470B28B0"/>
    <w:rsid w:val="4728284C"/>
    <w:rsid w:val="48CE73E8"/>
    <w:rsid w:val="4A794E61"/>
    <w:rsid w:val="4AE91DEB"/>
    <w:rsid w:val="4AF46035"/>
    <w:rsid w:val="4BF950DE"/>
    <w:rsid w:val="4CE27EB0"/>
    <w:rsid w:val="4F557E12"/>
    <w:rsid w:val="4F9B7802"/>
    <w:rsid w:val="4FFE4E5F"/>
    <w:rsid w:val="4FFF6EB1"/>
    <w:rsid w:val="508C1DCB"/>
    <w:rsid w:val="57A42E28"/>
    <w:rsid w:val="58673AF1"/>
    <w:rsid w:val="59E79EAC"/>
    <w:rsid w:val="5C3D3CA4"/>
    <w:rsid w:val="5F422060"/>
    <w:rsid w:val="5FE35928"/>
    <w:rsid w:val="629604FF"/>
    <w:rsid w:val="646C0022"/>
    <w:rsid w:val="666878CC"/>
    <w:rsid w:val="677F4417"/>
    <w:rsid w:val="68B4049D"/>
    <w:rsid w:val="6C3167BC"/>
    <w:rsid w:val="6DEAF75E"/>
    <w:rsid w:val="6E1C42D5"/>
    <w:rsid w:val="6FFF9A7F"/>
    <w:rsid w:val="71452919"/>
    <w:rsid w:val="71C9494D"/>
    <w:rsid w:val="72DE93DC"/>
    <w:rsid w:val="733C5552"/>
    <w:rsid w:val="78841900"/>
    <w:rsid w:val="79BD24E1"/>
    <w:rsid w:val="79D6A153"/>
    <w:rsid w:val="7A9F77AE"/>
    <w:rsid w:val="7B4E0F84"/>
    <w:rsid w:val="7BDFBD96"/>
    <w:rsid w:val="7CAEA231"/>
    <w:rsid w:val="7D7F33C3"/>
    <w:rsid w:val="7EBB0BE9"/>
    <w:rsid w:val="7FCF90EA"/>
    <w:rsid w:val="7FE666CA"/>
    <w:rsid w:val="7FEF454B"/>
    <w:rsid w:val="AF6EC992"/>
    <w:rsid w:val="C57B7D36"/>
    <w:rsid w:val="DDCFCDF6"/>
    <w:rsid w:val="EDD79E29"/>
    <w:rsid w:val="F5F8331D"/>
    <w:rsid w:val="F636D317"/>
    <w:rsid w:val="FB57E0E5"/>
    <w:rsid w:val="FBED7460"/>
    <w:rsid w:val="FDA786F7"/>
    <w:rsid w:val="FFB7FEBB"/>
    <w:rsid w:val="FFFFE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8"/>
    <w:qFormat/>
    <w:uiPriority w:val="9"/>
    <w:pPr>
      <w:keepNext/>
      <w:keepLines/>
      <w:spacing w:before="340" w:after="330" w:line="578" w:lineRule="auto"/>
      <w:outlineLvl w:val="0"/>
    </w:pPr>
    <w:rPr>
      <w:b/>
      <w:bCs/>
      <w:kern w:val="44"/>
      <w:sz w:val="44"/>
      <w:szCs w:val="4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Document Map"/>
    <w:basedOn w:val="1"/>
    <w:link w:val="23"/>
    <w:unhideWhenUsed/>
    <w:qFormat/>
    <w:uiPriority w:val="99"/>
    <w:rPr>
      <w:rFonts w:ascii="宋体"/>
      <w:sz w:val="18"/>
      <w:szCs w:val="18"/>
    </w:rPr>
  </w:style>
  <w:style w:type="paragraph" w:styleId="4">
    <w:name w:val="annotation text"/>
    <w:basedOn w:val="1"/>
    <w:link w:val="24"/>
    <w:unhideWhenUsed/>
    <w:qFormat/>
    <w:uiPriority w:val="99"/>
    <w:pPr>
      <w:jc w:val="left"/>
    </w:pPr>
  </w:style>
  <w:style w:type="paragraph" w:styleId="5">
    <w:name w:val="Body Text Indent"/>
    <w:basedOn w:val="1"/>
    <w:qFormat/>
    <w:uiPriority w:val="0"/>
    <w:pPr>
      <w:spacing w:line="360" w:lineRule="auto"/>
      <w:ind w:firstLine="413" w:firstLineChars="200"/>
    </w:pPr>
    <w:rPr>
      <w:b/>
      <w:bCs/>
    </w:rPr>
  </w:style>
  <w:style w:type="paragraph" w:styleId="6">
    <w:name w:val="Date"/>
    <w:basedOn w:val="1"/>
    <w:next w:val="1"/>
    <w:qFormat/>
    <w:uiPriority w:val="0"/>
    <w:pPr>
      <w:ind w:left="100" w:leftChars="2500"/>
    </w:pPr>
  </w:style>
  <w:style w:type="paragraph" w:styleId="7">
    <w:name w:val="Body Text Indent 2"/>
    <w:basedOn w:val="1"/>
    <w:qFormat/>
    <w:uiPriority w:val="0"/>
    <w:pPr>
      <w:spacing w:line="440" w:lineRule="exact"/>
      <w:ind w:firstLine="412"/>
    </w:pPr>
  </w:style>
  <w:style w:type="paragraph" w:styleId="8">
    <w:name w:val="Balloon Text"/>
    <w:basedOn w:val="1"/>
    <w:link w:val="25"/>
    <w:unhideWhenUsed/>
    <w:qFormat/>
    <w:uiPriority w:val="99"/>
    <w:rPr>
      <w:sz w:val="18"/>
      <w:szCs w:val="18"/>
    </w:rPr>
  </w:style>
  <w:style w:type="paragraph" w:styleId="9">
    <w:name w:val="footer"/>
    <w:basedOn w:val="1"/>
    <w:link w:val="65"/>
    <w:qFormat/>
    <w:uiPriority w:val="99"/>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autoRedefine/>
    <w:unhideWhenUsed/>
    <w:qFormat/>
    <w:uiPriority w:val="39"/>
  </w:style>
  <w:style w:type="paragraph" w:styleId="12">
    <w:name w:val="Body Text Indent 3"/>
    <w:basedOn w:val="1"/>
    <w:qFormat/>
    <w:uiPriority w:val="0"/>
    <w:pPr>
      <w:spacing w:line="360" w:lineRule="auto"/>
      <w:ind w:firstLine="420" w:firstLineChars="200"/>
    </w:pPr>
    <w:rPr>
      <w:color w:val="FF0000"/>
    </w:rPr>
  </w:style>
  <w:style w:type="paragraph" w:styleId="13">
    <w:name w:val="toc 2"/>
    <w:basedOn w:val="1"/>
    <w:next w:val="1"/>
    <w:autoRedefine/>
    <w:unhideWhenUsed/>
    <w:qFormat/>
    <w:uiPriority w:val="39"/>
    <w:pPr>
      <w:ind w:left="420" w:leftChars="200"/>
    </w:pPr>
  </w:style>
  <w:style w:type="paragraph" w:styleId="1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5">
    <w:name w:val="annotation subject"/>
    <w:basedOn w:val="4"/>
    <w:next w:val="4"/>
    <w:link w:val="26"/>
    <w:unhideWhenUsed/>
    <w:qFormat/>
    <w:uiPriority w:val="99"/>
    <w:rPr>
      <w:b/>
      <w:bCs/>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qFormat/>
    <w:uiPriority w:val="0"/>
    <w:rPr>
      <w:b/>
      <w:bCs/>
    </w:rPr>
  </w:style>
  <w:style w:type="character" w:styleId="20">
    <w:name w:val="page number"/>
    <w:qFormat/>
    <w:uiPriority w:val="0"/>
  </w:style>
  <w:style w:type="character" w:styleId="21">
    <w:name w:val="Hyperlink"/>
    <w:qFormat/>
    <w:uiPriority w:val="99"/>
    <w:rPr>
      <w:color w:val="0000FF"/>
      <w:u w:val="single"/>
    </w:rPr>
  </w:style>
  <w:style w:type="character" w:styleId="22">
    <w:name w:val="annotation reference"/>
    <w:unhideWhenUsed/>
    <w:qFormat/>
    <w:uiPriority w:val="99"/>
    <w:rPr>
      <w:sz w:val="21"/>
      <w:szCs w:val="21"/>
    </w:rPr>
  </w:style>
  <w:style w:type="character" w:customStyle="1" w:styleId="23">
    <w:name w:val="文档结构图 Char"/>
    <w:link w:val="3"/>
    <w:semiHidden/>
    <w:qFormat/>
    <w:uiPriority w:val="99"/>
    <w:rPr>
      <w:rFonts w:ascii="宋体"/>
      <w:kern w:val="2"/>
      <w:sz w:val="18"/>
      <w:szCs w:val="18"/>
    </w:rPr>
  </w:style>
  <w:style w:type="character" w:customStyle="1" w:styleId="24">
    <w:name w:val="批注文字 Char"/>
    <w:link w:val="4"/>
    <w:semiHidden/>
    <w:qFormat/>
    <w:uiPriority w:val="99"/>
    <w:rPr>
      <w:kern w:val="2"/>
      <w:sz w:val="21"/>
      <w:szCs w:val="24"/>
    </w:rPr>
  </w:style>
  <w:style w:type="character" w:customStyle="1" w:styleId="25">
    <w:name w:val="批注框文本 Char"/>
    <w:link w:val="8"/>
    <w:semiHidden/>
    <w:qFormat/>
    <w:uiPriority w:val="99"/>
    <w:rPr>
      <w:kern w:val="2"/>
      <w:sz w:val="18"/>
      <w:szCs w:val="18"/>
    </w:rPr>
  </w:style>
  <w:style w:type="character" w:customStyle="1" w:styleId="26">
    <w:name w:val="批注主题 Char"/>
    <w:link w:val="15"/>
    <w:semiHidden/>
    <w:qFormat/>
    <w:uiPriority w:val="99"/>
    <w:rPr>
      <w:b/>
      <w:bCs/>
      <w:kern w:val="2"/>
      <w:sz w:val="21"/>
      <w:szCs w:val="24"/>
    </w:rPr>
  </w:style>
  <w:style w:type="paragraph" w:customStyle="1" w:styleId="27">
    <w:name w:val="参考文献、索引标题"/>
    <w:basedOn w:val="1"/>
    <w:next w:val="1"/>
    <w:qFormat/>
    <w:uiPriority w:val="0"/>
    <w:pPr>
      <w:widowControl/>
      <w:shd w:val="clear" w:color="FFFFFF" w:fill="FFFFFF"/>
      <w:spacing w:before="640" w:after="200"/>
      <w:jc w:val="center"/>
      <w:outlineLvl w:val="0"/>
    </w:pPr>
    <w:rPr>
      <w:rFonts w:ascii="黑体" w:eastAsia="黑体"/>
      <w:kern w:val="0"/>
      <w:szCs w:val="20"/>
    </w:rPr>
  </w:style>
  <w:style w:type="paragraph" w:customStyle="1" w:styleId="28">
    <w:name w:val="段"/>
    <w:link w:val="29"/>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9">
    <w:name w:val="段 Char"/>
    <w:link w:val="28"/>
    <w:qFormat/>
    <w:uiPriority w:val="0"/>
    <w:rPr>
      <w:rFonts w:ascii="宋体"/>
      <w:sz w:val="21"/>
      <w:lang w:val="en-US" w:eastAsia="zh-CN" w:bidi="ar-SA"/>
    </w:rPr>
  </w:style>
  <w:style w:type="paragraph" w:customStyle="1" w:styleId="30">
    <w:name w:val="章标题"/>
    <w:next w:val="28"/>
    <w:qFormat/>
    <w:uiPriority w:val="0"/>
    <w:pPr>
      <w:spacing w:before="50" w:after="50"/>
      <w:jc w:val="both"/>
      <w:outlineLvl w:val="1"/>
    </w:pPr>
    <w:rPr>
      <w:rFonts w:ascii="黑体" w:hAnsi="Times New Roman" w:eastAsia="黑体" w:cs="Times New Roman"/>
      <w:sz w:val="21"/>
      <w:lang w:val="en-US" w:eastAsia="zh-CN" w:bidi="ar-SA"/>
    </w:rPr>
  </w:style>
  <w:style w:type="paragraph" w:customStyle="1" w:styleId="31">
    <w:name w:val="一级条标题"/>
    <w:basedOn w:val="30"/>
    <w:next w:val="28"/>
    <w:qFormat/>
    <w:uiPriority w:val="0"/>
    <w:pPr>
      <w:spacing w:before="0" w:after="0"/>
      <w:jc w:val="left"/>
      <w:outlineLvl w:val="2"/>
    </w:pPr>
  </w:style>
  <w:style w:type="paragraph" w:customStyle="1" w:styleId="32">
    <w:name w:val="二级条标题"/>
    <w:basedOn w:val="31"/>
    <w:next w:val="28"/>
    <w:qFormat/>
    <w:uiPriority w:val="0"/>
    <w:pPr>
      <w:tabs>
        <w:tab w:val="left" w:pos="360"/>
      </w:tabs>
      <w:outlineLvl w:val="3"/>
    </w:pPr>
  </w:style>
  <w:style w:type="paragraph" w:customStyle="1" w:styleId="33">
    <w:name w:val="三级条标题"/>
    <w:basedOn w:val="32"/>
    <w:next w:val="28"/>
    <w:qFormat/>
    <w:uiPriority w:val="0"/>
    <w:pPr>
      <w:outlineLvl w:val="4"/>
    </w:pPr>
  </w:style>
  <w:style w:type="paragraph" w:customStyle="1" w:styleId="34">
    <w:name w:val="正文图标题"/>
    <w:next w:val="28"/>
    <w:qFormat/>
    <w:uiPriority w:val="0"/>
    <w:pPr>
      <w:jc w:val="center"/>
    </w:pPr>
    <w:rPr>
      <w:rFonts w:ascii="黑体" w:hAnsi="Times New Roman" w:eastAsia="黑体" w:cs="Times New Roman"/>
      <w:sz w:val="21"/>
      <w:lang w:val="en-US" w:eastAsia="zh-CN" w:bidi="ar-SA"/>
    </w:rPr>
  </w:style>
  <w:style w:type="paragraph" w:customStyle="1" w:styleId="35">
    <w:name w:val="前言、引言标题"/>
    <w:next w:val="1"/>
    <w:qFormat/>
    <w:uiPriority w:val="0"/>
    <w:pPr>
      <w:shd w:val="clear" w:color="FFFFFF" w:fill="FFFFFF"/>
      <w:spacing w:before="640" w:after="560"/>
      <w:ind w:left="2940"/>
      <w:jc w:val="center"/>
      <w:outlineLvl w:val="0"/>
    </w:pPr>
    <w:rPr>
      <w:rFonts w:ascii="黑体" w:hAnsi="Times New Roman" w:eastAsia="黑体" w:cs="Times New Roman"/>
      <w:sz w:val="32"/>
      <w:lang w:val="en-US" w:eastAsia="zh-CN" w:bidi="ar-SA"/>
    </w:rPr>
  </w:style>
  <w:style w:type="paragraph" w:customStyle="1" w:styleId="36">
    <w:name w:val="实施日期"/>
    <w:basedOn w:val="1"/>
    <w:qFormat/>
    <w:uiPriority w:val="0"/>
    <w:pPr>
      <w:framePr w:w="4000" w:h="473" w:hRule="exact" w:vSpace="180" w:wrap="around" w:vAnchor="margin" w:hAnchor="margin" w:xAlign="right" w:y="13511" w:anchorLock="1"/>
      <w:widowControl/>
      <w:jc w:val="right"/>
    </w:pPr>
    <w:rPr>
      <w:rFonts w:eastAsia="黑体"/>
      <w:kern w:val="0"/>
      <w:sz w:val="28"/>
      <w:szCs w:val="20"/>
    </w:rPr>
  </w:style>
  <w:style w:type="paragraph" w:customStyle="1" w:styleId="37">
    <w:name w:val="图表脚注"/>
    <w:next w:val="28"/>
    <w:qFormat/>
    <w:uiPriority w:val="0"/>
    <w:pPr>
      <w:ind w:left="300" w:leftChars="200" w:hanging="100" w:hangingChars="100"/>
      <w:jc w:val="both"/>
    </w:pPr>
    <w:rPr>
      <w:rFonts w:ascii="宋体" w:hAnsi="Times New Roman" w:eastAsia="宋体" w:cs="Times New Roman"/>
      <w:sz w:val="18"/>
      <w:lang w:val="en-US" w:eastAsia="zh-CN" w:bidi="ar-SA"/>
    </w:rPr>
  </w:style>
  <w:style w:type="character" w:customStyle="1" w:styleId="38">
    <w:name w:val="style71"/>
    <w:qFormat/>
    <w:uiPriority w:val="0"/>
    <w:rPr>
      <w:b/>
      <w:bCs/>
      <w:color w:val="0050A2"/>
      <w:sz w:val="26"/>
      <w:szCs w:val="26"/>
    </w:rPr>
  </w:style>
  <w:style w:type="paragraph" w:customStyle="1" w:styleId="39">
    <w:name w:val="正文表标题"/>
    <w:next w:val="28"/>
    <w:qFormat/>
    <w:uiPriority w:val="0"/>
    <w:pPr>
      <w:spacing w:before="156" w:beforeLines="50" w:after="156" w:afterLines="50"/>
      <w:ind w:left="360" w:hanging="360"/>
      <w:jc w:val="center"/>
    </w:pPr>
    <w:rPr>
      <w:rFonts w:ascii="黑体" w:hAnsi="Times New Roman" w:eastAsia="黑体" w:cs="Times New Roman"/>
      <w:sz w:val="21"/>
      <w:lang w:val="en-US" w:eastAsia="zh-CN" w:bidi="ar-SA"/>
    </w:rPr>
  </w:style>
  <w:style w:type="paragraph" w:customStyle="1" w:styleId="40">
    <w:name w:val="其他发布日期"/>
    <w:basedOn w:val="1"/>
    <w:qFormat/>
    <w:uiPriority w:val="0"/>
    <w:pPr>
      <w:framePr w:w="3997" w:h="471" w:hRule="exact" w:vSpace="181" w:wrap="around" w:vAnchor="page" w:hAnchor="page" w:x="1419" w:y="14097" w:anchorLock="1"/>
      <w:widowControl/>
      <w:jc w:val="left"/>
    </w:pPr>
    <w:rPr>
      <w:rFonts w:eastAsia="黑体"/>
      <w:kern w:val="0"/>
      <w:sz w:val="28"/>
      <w:szCs w:val="20"/>
    </w:rPr>
  </w:style>
  <w:style w:type="table" w:customStyle="1" w:styleId="41">
    <w:name w:val="网格型1"/>
    <w:basedOn w:val="16"/>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42">
    <w:name w:val="标准文件_一级条标题"/>
    <w:basedOn w:val="43"/>
    <w:next w:val="44"/>
    <w:qFormat/>
    <w:uiPriority w:val="0"/>
    <w:pPr>
      <w:spacing w:before="50" w:beforeLines="50" w:after="50" w:afterLines="50"/>
      <w:ind w:left="284"/>
      <w:outlineLvl w:val="1"/>
    </w:pPr>
  </w:style>
  <w:style w:type="paragraph" w:customStyle="1" w:styleId="43">
    <w:name w:val="标准文件_章标题"/>
    <w:next w:val="44"/>
    <w:qFormat/>
    <w:uiPriority w:val="0"/>
    <w:p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44">
    <w:name w:val="标准文件_段"/>
    <w:link w:val="63"/>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45">
    <w:name w:val="标准文件_二级条标题"/>
    <w:next w:val="44"/>
    <w:qFormat/>
    <w:uiPriority w:val="0"/>
    <w:pPr>
      <w:widowControl w:val="0"/>
      <w:numPr>
        <w:ilvl w:val="3"/>
        <w:numId w:val="1"/>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46">
    <w:name w:val="标准文件_附录图标题"/>
    <w:next w:val="44"/>
    <w:qFormat/>
    <w:uiPriority w:val="0"/>
    <w:p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47">
    <w:name w:val="标准文件_附录图标号"/>
    <w:basedOn w:val="44"/>
    <w:next w:val="44"/>
    <w:qFormat/>
    <w:uiPriority w:val="0"/>
    <w:pPr>
      <w:spacing w:line="14" w:lineRule="exact"/>
      <w:ind w:left="420" w:firstLine="0" w:firstLineChars="0"/>
      <w:jc w:val="center"/>
    </w:pPr>
    <w:rPr>
      <w:rFonts w:ascii="黑体" w:hAnsi="黑体" w:eastAsia="黑体"/>
      <w:vanish/>
      <w:sz w:val="2"/>
      <w:szCs w:val="21"/>
    </w:rPr>
  </w:style>
  <w:style w:type="paragraph" w:customStyle="1" w:styleId="48">
    <w:name w:val="标准文件_术语条一"/>
    <w:basedOn w:val="49"/>
    <w:next w:val="44"/>
    <w:qFormat/>
    <w:uiPriority w:val="0"/>
  </w:style>
  <w:style w:type="paragraph" w:customStyle="1" w:styleId="49">
    <w:name w:val="标准文件_一级无标题"/>
    <w:basedOn w:val="42"/>
    <w:qFormat/>
    <w:uiPriority w:val="0"/>
    <w:pPr>
      <w:spacing w:before="0" w:beforeLines="0" w:after="0" w:afterLines="0"/>
      <w:outlineLvl w:val="9"/>
    </w:pPr>
    <w:rPr>
      <w:rFonts w:ascii="宋体" w:eastAsia="宋体"/>
    </w:rPr>
  </w:style>
  <w:style w:type="paragraph" w:customStyle="1" w:styleId="50">
    <w:name w:val="标准文件_二级无标题"/>
    <w:basedOn w:val="45"/>
    <w:qFormat/>
    <w:uiPriority w:val="0"/>
    <w:pPr>
      <w:spacing w:before="0" w:beforeLines="0" w:after="0" w:afterLines="0"/>
      <w:outlineLvl w:val="9"/>
    </w:pPr>
    <w:rPr>
      <w:rFonts w:ascii="宋体" w:eastAsia="宋体"/>
    </w:rPr>
  </w:style>
  <w:style w:type="paragraph" w:customStyle="1" w:styleId="51">
    <w:name w:val="标准文件_正文图标题"/>
    <w:next w:val="44"/>
    <w:qFormat/>
    <w:uiPriority w:val="0"/>
    <w:pPr>
      <w:spacing w:before="50" w:beforeLines="50" w:after="50" w:afterLines="50"/>
      <w:ind w:left="2310"/>
      <w:jc w:val="center"/>
    </w:pPr>
    <w:rPr>
      <w:rFonts w:ascii="黑体" w:hAnsi="Times New Roman" w:eastAsia="黑体" w:cs="Times New Roman"/>
      <w:sz w:val="21"/>
      <w:lang w:val="en-US" w:eastAsia="zh-CN" w:bidi="ar-SA"/>
    </w:rPr>
  </w:style>
  <w:style w:type="paragraph" w:customStyle="1" w:styleId="52">
    <w:name w:val="标准文件_三级条标题"/>
    <w:basedOn w:val="45"/>
    <w:next w:val="44"/>
    <w:qFormat/>
    <w:uiPriority w:val="0"/>
    <w:pPr>
      <w:widowControl/>
      <w:numPr>
        <w:ilvl w:val="0"/>
        <w:numId w:val="0"/>
      </w:numPr>
      <w:outlineLvl w:val="3"/>
    </w:pPr>
  </w:style>
  <w:style w:type="paragraph" w:customStyle="1" w:styleId="53">
    <w:name w:val="标准文件_字母编号列项（一级）"/>
    <w:qFormat/>
    <w:uiPriority w:val="0"/>
    <w:pPr>
      <w:tabs>
        <w:tab w:val="left" w:pos="851"/>
      </w:tabs>
      <w:ind w:left="851" w:hanging="426"/>
      <w:jc w:val="both"/>
    </w:pPr>
    <w:rPr>
      <w:rFonts w:ascii="宋体" w:hAnsi="Times New Roman" w:eastAsia="宋体" w:cs="Times New Roman"/>
      <w:sz w:val="21"/>
      <w:lang w:val="en-US" w:eastAsia="zh-CN" w:bidi="ar-SA"/>
    </w:rPr>
  </w:style>
  <w:style w:type="paragraph" w:customStyle="1" w:styleId="54">
    <w:name w:val="标准文件_四级条标题"/>
    <w:next w:val="44"/>
    <w:qFormat/>
    <w:uiPriority w:val="0"/>
    <w:pPr>
      <w:widowControl w:val="0"/>
      <w:spacing w:before="50" w:beforeLines="50" w:after="50" w:afterLines="50"/>
      <w:jc w:val="both"/>
      <w:outlineLvl w:val="4"/>
    </w:pPr>
    <w:rPr>
      <w:rFonts w:ascii="黑体" w:hAnsi="Times New Roman" w:eastAsia="黑体" w:cs="Times New Roman"/>
      <w:sz w:val="21"/>
      <w:lang w:val="en-US" w:eastAsia="zh-CN" w:bidi="ar-SA"/>
    </w:rPr>
  </w:style>
  <w:style w:type="paragraph" w:customStyle="1" w:styleId="55">
    <w:name w:val="标准文件_五级条标题"/>
    <w:next w:val="44"/>
    <w:qFormat/>
    <w:uiPriority w:val="0"/>
    <w:pPr>
      <w:widowControl w:val="0"/>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56">
    <w:name w:val="前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57">
    <w:name w:val="标准文件_附录标识"/>
    <w:next w:val="44"/>
    <w:qFormat/>
    <w:uiPriority w:val="0"/>
    <w:pPr>
      <w:numPr>
        <w:ilvl w:val="0"/>
        <w:numId w:val="2"/>
      </w:numPr>
      <w:shd w:val="clear" w:color="FFFFFF" w:fill="FFFFFF"/>
      <w:tabs>
        <w:tab w:val="left" w:pos="6406"/>
      </w:tabs>
      <w:spacing w:before="25" w:beforeLines="25" w:after="50" w:afterLines="50"/>
      <w:jc w:val="center"/>
      <w:outlineLvl w:val="0"/>
    </w:pPr>
    <w:rPr>
      <w:rFonts w:ascii="黑体" w:hAnsi="Times New Roman" w:eastAsia="黑体" w:cs="Times New Roman"/>
      <w:sz w:val="21"/>
      <w:lang w:val="en-US" w:eastAsia="zh-CN" w:bidi="ar-SA"/>
    </w:rPr>
  </w:style>
  <w:style w:type="paragraph" w:customStyle="1" w:styleId="58">
    <w:name w:val="标准文件_附录一级条标题"/>
    <w:next w:val="44"/>
    <w:qFormat/>
    <w:uiPriority w:val="0"/>
    <w:pPr>
      <w:widowControl w:val="0"/>
      <w:numPr>
        <w:ilvl w:val="1"/>
        <w:numId w:val="2"/>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59">
    <w:name w:val="标准文件_附录二级条标题"/>
    <w:basedOn w:val="58"/>
    <w:next w:val="44"/>
    <w:qFormat/>
    <w:uiPriority w:val="0"/>
    <w:pPr>
      <w:widowControl/>
      <w:numPr>
        <w:ilvl w:val="2"/>
      </w:numPr>
      <w:wordWrap w:val="0"/>
      <w:overflowPunct w:val="0"/>
      <w:autoSpaceDE w:val="0"/>
      <w:autoSpaceDN w:val="0"/>
      <w:textAlignment w:val="baseline"/>
      <w:outlineLvl w:val="3"/>
    </w:pPr>
  </w:style>
  <w:style w:type="paragraph" w:customStyle="1" w:styleId="60">
    <w:name w:val="标准文件_附录三级条标题"/>
    <w:next w:val="44"/>
    <w:qFormat/>
    <w:uiPriority w:val="0"/>
    <w:pPr>
      <w:widowControl w:val="0"/>
      <w:numPr>
        <w:ilvl w:val="3"/>
        <w:numId w:val="2"/>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61">
    <w:name w:val="标准文件_附录四级条标题"/>
    <w:next w:val="44"/>
    <w:qFormat/>
    <w:uiPriority w:val="0"/>
    <w:pPr>
      <w:widowControl w:val="0"/>
      <w:numPr>
        <w:ilvl w:val="4"/>
        <w:numId w:val="2"/>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62">
    <w:name w:val="标准文件_附录五级条标题"/>
    <w:next w:val="44"/>
    <w:qFormat/>
    <w:uiPriority w:val="0"/>
    <w:pPr>
      <w:widowControl w:val="0"/>
      <w:numPr>
        <w:ilvl w:val="5"/>
        <w:numId w:val="2"/>
      </w:numPr>
      <w:spacing w:before="50" w:beforeLines="50" w:after="50" w:afterLines="50"/>
      <w:jc w:val="both"/>
      <w:outlineLvl w:val="6"/>
    </w:pPr>
    <w:rPr>
      <w:rFonts w:ascii="黑体" w:hAnsi="Times New Roman" w:eastAsia="黑体" w:cs="Times New Roman"/>
      <w:kern w:val="21"/>
      <w:sz w:val="21"/>
      <w:lang w:val="en-US" w:eastAsia="zh-CN" w:bidi="ar-SA"/>
    </w:rPr>
  </w:style>
  <w:style w:type="character" w:customStyle="1" w:styleId="63">
    <w:name w:val="标准文件_段 Char"/>
    <w:link w:val="44"/>
    <w:qFormat/>
    <w:uiPriority w:val="0"/>
    <w:rPr>
      <w:rFonts w:ascii="宋体"/>
      <w:sz w:val="21"/>
    </w:rPr>
  </w:style>
  <w:style w:type="paragraph" w:customStyle="1" w:styleId="64">
    <w:name w:val="标准文件_封面标准英文名称"/>
    <w:basedOn w:val="1"/>
    <w:qFormat/>
    <w:uiPriority w:val="0"/>
    <w:pPr>
      <w:adjustRightInd w:val="0"/>
      <w:jc w:val="center"/>
    </w:pPr>
    <w:rPr>
      <w:rFonts w:ascii="黑体" w:hAnsi="Calibri" w:eastAsia="黑体"/>
      <w:b/>
      <w:sz w:val="28"/>
      <w:szCs w:val="21"/>
    </w:rPr>
  </w:style>
  <w:style w:type="character" w:customStyle="1" w:styleId="65">
    <w:name w:val="页脚 Char"/>
    <w:link w:val="9"/>
    <w:qFormat/>
    <w:uiPriority w:val="99"/>
    <w:rPr>
      <w:kern w:val="2"/>
      <w:sz w:val="18"/>
      <w:szCs w:val="18"/>
    </w:rPr>
  </w:style>
  <w:style w:type="paragraph" w:customStyle="1" w:styleId="66">
    <w:name w:val="YJY一级"/>
    <w:basedOn w:val="1"/>
    <w:next w:val="1"/>
    <w:qFormat/>
    <w:uiPriority w:val="0"/>
    <w:pPr>
      <w:spacing w:line="560" w:lineRule="exact"/>
      <w:outlineLvl w:val="0"/>
    </w:pPr>
    <w:rPr>
      <w:rFonts w:eastAsia="黑体"/>
      <w:b/>
      <w:sz w:val="32"/>
      <w:szCs w:val="22"/>
    </w:rPr>
  </w:style>
  <w:style w:type="paragraph" w:customStyle="1" w:styleId="67">
    <w:name w:val="YJY二级"/>
    <w:basedOn w:val="1"/>
    <w:next w:val="1"/>
    <w:qFormat/>
    <w:uiPriority w:val="0"/>
    <w:pPr>
      <w:outlineLvl w:val="1"/>
    </w:pPr>
    <w:rPr>
      <w:rFonts w:eastAsia="楷体"/>
      <w:b/>
      <w:sz w:val="32"/>
      <w:szCs w:val="22"/>
    </w:rPr>
  </w:style>
  <w:style w:type="character" w:customStyle="1" w:styleId="68">
    <w:name w:val="标题 1 Char"/>
    <w:basedOn w:val="18"/>
    <w:link w:val="2"/>
    <w:qFormat/>
    <w:uiPriority w:val="9"/>
    <w:rPr>
      <w:b/>
      <w:bCs/>
      <w:kern w:val="44"/>
      <w:sz w:val="44"/>
      <w:szCs w:val="44"/>
    </w:rPr>
  </w:style>
  <w:style w:type="paragraph" w:customStyle="1" w:styleId="69">
    <w:name w:val="TOC Heading"/>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microsoft.com/office/2006/relationships/keyMapCustomizations" Target="customizations.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DB7BADF-7C15-4602-8063-CC1605824F71}">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Pages>
  <Words>43</Words>
  <Characters>46</Characters>
  <Lines>41</Lines>
  <Paragraphs>11</Paragraphs>
  <TotalTime>6</TotalTime>
  <ScaleCrop>false</ScaleCrop>
  <LinksUpToDate>false</LinksUpToDate>
  <CharactersWithSpaces>49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2025-06-28T04:59:00Z</dcterms:created>
  <dc:creator>罗艳萍</dc:creator>
  <dc:description>NE.Rep</dc:description>
  <cp:lastModifiedBy>娅娅yoyo</cp:lastModifiedBy>
  <cp:lastPrinted>2024-01-05T06:45:00Z</cp:lastPrinted>
  <dcterms:modified xsi:type="dcterms:W3CDTF">2026-10-22T03:01:55Z</dcterms:modified>
  <dc:title>中华鲟国家水产行业种质标准编制说明</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C047BB23B8B44FB6AB2BCFBF011B9569</vt:lpwstr>
  </property>
  <property fmtid="{D5CDD505-2E9C-101B-9397-08002B2CF9AE}" pid="4" name="KSOTemplateDocerSaveRecord">
    <vt:lpwstr>eyJoZGlkIjoiN2ZiNWZmZWNjY2Y4MDQ4ZDJlNDM0Nzg3ZGFjOTM3MzYiLCJ1c2VySWQiOiIyODgzNzU1MjIifQ==</vt:lpwstr>
  </property>
</Properties>
</file>